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156210</wp:posOffset>
            </wp:positionH>
            <wp:positionV relativeFrom="page">
              <wp:posOffset>290830</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324485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1" w:lineRule="exact"/>
        <w:rPr>
          <w:sz w:val="24"/>
          <w:szCs w:val="24"/>
          <w:color w:val="auto"/>
        </w:rPr>
      </w:pPr>
    </w:p>
    <w:p>
      <w:pPr>
        <w:ind w:left="400" w:right="2380" w:hanging="239"/>
        <w:spacing w:after="0" w:line="272"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7" w:lineRule="exact"/>
        <w:rPr>
          <w:sz w:val="24"/>
          <w:szCs w:val="24"/>
          <w:color w:val="auto"/>
        </w:rPr>
      </w:pPr>
    </w:p>
    <w:p>
      <w:pPr>
        <w:ind w:left="400" w:hanging="275"/>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 w:lineRule="exact"/>
        <w:rPr>
          <w:sz w:val="24"/>
          <w:szCs w:val="24"/>
          <w:color w:val="auto"/>
        </w:rPr>
      </w:pPr>
    </w:p>
    <w:tbl>
      <w:tblPr>
        <w:tblLayout w:type="fixed"/>
        <w:tblInd w:w="200" w:type="dxa"/>
        <w:tblCellMar>
          <w:top w:w="0" w:type="dxa"/>
          <w:left w:w="0" w:type="dxa"/>
          <w:bottom w:w="0" w:type="dxa"/>
          <w:right w:w="0" w:type="dxa"/>
        </w:tblCellMar>
      </w:tblPr>
      <w:tr>
        <w:trPr>
          <w:trHeight w:val="229"/>
        </w:trPr>
        <w:tc>
          <w:tcPr>
            <w:tcW w:w="4460" w:type="dxa"/>
            <w:vAlign w:val="bottom"/>
            <w:gridSpan w:val="3"/>
          </w:tcPr>
          <w:p>
            <w:pPr>
              <w:ind w:left="200"/>
              <w:spacing w:after="0"/>
              <w:rPr>
                <w:sz w:val="20"/>
                <w:szCs w:val="20"/>
                <w:color w:val="auto"/>
              </w:rPr>
            </w:pPr>
            <w:r>
              <w:rPr>
                <w:rFonts w:ascii="Arial" w:cs="Arial" w:eastAsia="Arial" w:hAnsi="Arial"/>
                <w:sz w:val="18"/>
                <w:szCs w:val="18"/>
                <w:b w:val="1"/>
                <w:bCs w:val="1"/>
                <w:color w:val="auto"/>
              </w:rPr>
              <w:t>FOR THE TRANSITION PERIOD FROM</w:t>
            </w:r>
          </w:p>
        </w:tc>
        <w:tc>
          <w:tcPr>
            <w:tcW w:w="600" w:type="dxa"/>
            <w:vAlign w:val="bottom"/>
          </w:tcPr>
          <w:p>
            <w:pPr>
              <w:ind w:left="20"/>
              <w:spacing w:after="0"/>
              <w:rPr>
                <w:sz w:val="20"/>
                <w:szCs w:val="20"/>
                <w:color w:val="auto"/>
              </w:rPr>
            </w:pPr>
            <w:r>
              <w:rPr>
                <w:rFonts w:ascii="Arial" w:cs="Arial" w:eastAsia="Arial" w:hAnsi="Arial"/>
                <w:sz w:val="18"/>
                <w:szCs w:val="18"/>
                <w:b w:val="1"/>
                <w:bCs w:val="1"/>
                <w:color w:val="auto"/>
              </w:rPr>
              <w:t>TO</w:t>
            </w:r>
          </w:p>
        </w:tc>
        <w:tc>
          <w:tcPr>
            <w:tcW w:w="1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04"/>
        </w:trPr>
        <w:tc>
          <w:tcPr>
            <w:tcW w:w="1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20" w:type="dxa"/>
            <w:vAlign w:val="bottom"/>
            <w:gridSpan w:val="4"/>
          </w:tcPr>
          <w:p>
            <w:pPr>
              <w:jc w:val="center"/>
              <w:ind w:right="1252"/>
              <w:spacing w:after="0"/>
              <w:rPr>
                <w:sz w:val="20"/>
                <w:szCs w:val="20"/>
                <w:color w:val="auto"/>
              </w:rPr>
            </w:pPr>
            <w:r>
              <w:rPr>
                <w:rFonts w:ascii="Arial" w:cs="Arial" w:eastAsia="Arial" w:hAnsi="Arial"/>
                <w:sz w:val="18"/>
                <w:szCs w:val="18"/>
                <w:b w:val="1"/>
                <w:bCs w:val="1"/>
                <w:color w:val="auto"/>
                <w:w w:val="97"/>
              </w:rPr>
              <w:t>COMMISSION FILE NUMBER: 814-00802</w:t>
            </w:r>
          </w:p>
        </w:tc>
        <w:tc>
          <w:tcPr>
            <w:tcW w:w="1100" w:type="dxa"/>
            <w:vAlign w:val="bottom"/>
          </w:tcPr>
          <w:p>
            <w:pPr>
              <w:spacing w:after="0"/>
              <w:rPr>
                <w:sz w:val="24"/>
                <w:szCs w:val="24"/>
                <w:color w:val="auto"/>
              </w:rPr>
            </w:pPr>
          </w:p>
        </w:tc>
      </w:tr>
      <w:tr>
        <w:trPr>
          <w:trHeight w:val="559"/>
        </w:trPr>
        <w:tc>
          <w:tcPr>
            <w:tcW w:w="10100" w:type="dxa"/>
            <w:vAlign w:val="bottom"/>
            <w:gridSpan w:val="7"/>
          </w:tcPr>
          <w:p>
            <w:pPr>
              <w:jc w:val="center"/>
              <w:ind w:left="820"/>
              <w:spacing w:after="0"/>
              <w:rPr>
                <w:sz w:val="20"/>
                <w:szCs w:val="20"/>
                <w:color w:val="auto"/>
              </w:rPr>
            </w:pPr>
            <w:r>
              <w:rPr>
                <w:rFonts w:ascii="Arial" w:cs="Arial" w:eastAsia="Arial" w:hAnsi="Arial"/>
                <w:sz w:val="32"/>
                <w:szCs w:val="32"/>
                <w:b w:val="1"/>
                <w:bCs w:val="1"/>
                <w:color w:val="auto"/>
              </w:rPr>
              <w:t>HORIZON TECHNOLOGY FINANCE CORPORATION</w:t>
            </w:r>
          </w:p>
        </w:tc>
      </w:tr>
      <w:tr>
        <w:trPr>
          <w:trHeight w:val="223"/>
        </w:trPr>
        <w:tc>
          <w:tcPr>
            <w:tcW w:w="1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20" w:type="dxa"/>
            <w:vAlign w:val="bottom"/>
            <w:gridSpan w:val="4"/>
          </w:tcPr>
          <w:p>
            <w:pPr>
              <w:jc w:val="center"/>
              <w:ind w:right="1272"/>
              <w:spacing w:after="0"/>
              <w:rPr>
                <w:sz w:val="20"/>
                <w:szCs w:val="20"/>
                <w:color w:val="auto"/>
              </w:rPr>
            </w:pPr>
            <w:r>
              <w:rPr>
                <w:rFonts w:ascii="Arial" w:cs="Arial" w:eastAsia="Arial" w:hAnsi="Arial"/>
                <w:sz w:val="18"/>
                <w:szCs w:val="18"/>
                <w:i w:val="1"/>
                <w:iCs w:val="1"/>
                <w:color w:val="auto"/>
                <w:w w:val="90"/>
              </w:rPr>
              <w:t>(Exact name of registrant as specified in its charter)</w:t>
            </w:r>
          </w:p>
        </w:tc>
        <w:tc>
          <w:tcPr>
            <w:tcW w:w="1100" w:type="dxa"/>
            <w:vAlign w:val="bottom"/>
          </w:tcPr>
          <w:p>
            <w:pPr>
              <w:spacing w:after="0"/>
              <w:rPr>
                <w:sz w:val="19"/>
                <w:szCs w:val="19"/>
                <w:color w:val="auto"/>
              </w:rPr>
            </w:pPr>
          </w:p>
        </w:tc>
      </w:tr>
      <w:tr>
        <w:trPr>
          <w:trHeight w:val="413"/>
        </w:trPr>
        <w:tc>
          <w:tcPr>
            <w:tcW w:w="1960" w:type="dxa"/>
            <w:vAlign w:val="bottom"/>
          </w:tcPr>
          <w:p>
            <w:pPr>
              <w:spacing w:after="0"/>
              <w:rPr>
                <w:sz w:val="24"/>
                <w:szCs w:val="24"/>
                <w:color w:val="auto"/>
              </w:rPr>
            </w:pPr>
          </w:p>
        </w:tc>
        <w:tc>
          <w:tcPr>
            <w:tcW w:w="2500" w:type="dxa"/>
            <w:vAlign w:val="bottom"/>
            <w:gridSpan w:val="2"/>
          </w:tcPr>
          <w:p>
            <w:pPr>
              <w:jc w:val="center"/>
              <w:ind w:left="292"/>
              <w:spacing w:after="0"/>
              <w:rPr>
                <w:sz w:val="20"/>
                <w:szCs w:val="20"/>
                <w:color w:val="auto"/>
              </w:rPr>
            </w:pPr>
            <w:r>
              <w:rPr>
                <w:rFonts w:ascii="Arial" w:cs="Arial" w:eastAsia="Arial" w:hAnsi="Arial"/>
                <w:sz w:val="18"/>
                <w:szCs w:val="18"/>
                <w:b w:val="1"/>
                <w:bCs w:val="1"/>
                <w:color w:val="auto"/>
                <w:w w:val="96"/>
              </w:rPr>
              <w:t>DELAWARE</w:t>
            </w:r>
          </w:p>
        </w:tc>
        <w:tc>
          <w:tcPr>
            <w:tcW w:w="600" w:type="dxa"/>
            <w:vAlign w:val="bottom"/>
          </w:tcPr>
          <w:p>
            <w:pPr>
              <w:spacing w:after="0"/>
              <w:rPr>
                <w:sz w:val="24"/>
                <w:szCs w:val="24"/>
                <w:color w:val="auto"/>
              </w:rPr>
            </w:pPr>
          </w:p>
        </w:tc>
        <w:tc>
          <w:tcPr>
            <w:tcW w:w="5040" w:type="dxa"/>
            <w:vAlign w:val="bottom"/>
            <w:gridSpan w:val="3"/>
          </w:tcPr>
          <w:p>
            <w:pPr>
              <w:jc w:val="right"/>
              <w:ind w:right="472"/>
              <w:spacing w:after="0"/>
              <w:rPr>
                <w:sz w:val="20"/>
                <w:szCs w:val="20"/>
                <w:color w:val="auto"/>
              </w:rPr>
            </w:pPr>
            <w:r>
              <w:rPr>
                <w:rFonts w:ascii="Arial" w:cs="Arial" w:eastAsia="Arial" w:hAnsi="Arial"/>
                <w:sz w:val="18"/>
                <w:szCs w:val="18"/>
                <w:b w:val="1"/>
                <w:bCs w:val="1"/>
                <w:color w:val="auto"/>
              </w:rPr>
              <w:t>27-2114934</w:t>
            </w:r>
          </w:p>
        </w:tc>
      </w:tr>
      <w:tr>
        <w:trPr>
          <w:trHeight w:val="212"/>
        </w:trPr>
        <w:tc>
          <w:tcPr>
            <w:tcW w:w="1960" w:type="dxa"/>
            <w:vAlign w:val="bottom"/>
          </w:tcPr>
          <w:p>
            <w:pPr>
              <w:spacing w:after="0"/>
              <w:rPr>
                <w:sz w:val="18"/>
                <w:szCs w:val="18"/>
                <w:color w:val="auto"/>
              </w:rPr>
            </w:pPr>
          </w:p>
        </w:tc>
        <w:tc>
          <w:tcPr>
            <w:tcW w:w="2500" w:type="dxa"/>
            <w:vAlign w:val="bottom"/>
            <w:gridSpan w:val="2"/>
          </w:tcPr>
          <w:p>
            <w:pPr>
              <w:jc w:val="center"/>
              <w:ind w:left="312"/>
              <w:spacing w:after="0"/>
              <w:rPr>
                <w:sz w:val="20"/>
                <w:szCs w:val="20"/>
                <w:color w:val="auto"/>
              </w:rPr>
            </w:pPr>
            <w:r>
              <w:rPr>
                <w:rFonts w:ascii="Arial" w:cs="Arial" w:eastAsia="Arial" w:hAnsi="Arial"/>
                <w:sz w:val="18"/>
                <w:szCs w:val="18"/>
                <w:i w:val="1"/>
                <w:iCs w:val="1"/>
                <w:color w:val="auto"/>
                <w:w w:val="91"/>
              </w:rPr>
              <w:t>(State or other jurisdiction of</w:t>
            </w:r>
          </w:p>
        </w:tc>
        <w:tc>
          <w:tcPr>
            <w:tcW w:w="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60" w:type="dxa"/>
            <w:vAlign w:val="bottom"/>
            <w:gridSpan w:val="2"/>
          </w:tcPr>
          <w:p>
            <w:pPr>
              <w:jc w:val="center"/>
              <w:ind w:left="1392"/>
              <w:spacing w:after="0"/>
              <w:rPr>
                <w:sz w:val="20"/>
                <w:szCs w:val="20"/>
                <w:color w:val="auto"/>
              </w:rPr>
            </w:pPr>
            <w:r>
              <w:rPr>
                <w:rFonts w:ascii="Arial" w:cs="Arial" w:eastAsia="Arial" w:hAnsi="Arial"/>
                <w:sz w:val="18"/>
                <w:szCs w:val="18"/>
                <w:i w:val="1"/>
                <w:iCs w:val="1"/>
                <w:color w:val="auto"/>
                <w:w w:val="89"/>
              </w:rPr>
              <w:t>(I.R.S. Employer</w:t>
            </w:r>
          </w:p>
        </w:tc>
      </w:tr>
      <w:tr>
        <w:trPr>
          <w:trHeight w:val="223"/>
        </w:trPr>
        <w:tc>
          <w:tcPr>
            <w:tcW w:w="1960" w:type="dxa"/>
            <w:vAlign w:val="bottom"/>
          </w:tcPr>
          <w:p>
            <w:pPr>
              <w:spacing w:after="0"/>
              <w:rPr>
                <w:sz w:val="19"/>
                <w:szCs w:val="19"/>
                <w:color w:val="auto"/>
              </w:rPr>
            </w:pPr>
          </w:p>
        </w:tc>
        <w:tc>
          <w:tcPr>
            <w:tcW w:w="3100" w:type="dxa"/>
            <w:vAlign w:val="bottom"/>
            <w:gridSpan w:val="3"/>
          </w:tcPr>
          <w:p>
            <w:pPr>
              <w:jc w:val="center"/>
              <w:ind w:right="112"/>
              <w:spacing w:after="0"/>
              <w:rPr>
                <w:sz w:val="20"/>
                <w:szCs w:val="20"/>
                <w:color w:val="auto"/>
              </w:rPr>
            </w:pPr>
            <w:r>
              <w:rPr>
                <w:rFonts w:ascii="Arial" w:cs="Arial" w:eastAsia="Arial" w:hAnsi="Arial"/>
                <w:sz w:val="18"/>
                <w:szCs w:val="18"/>
                <w:i w:val="1"/>
                <w:iCs w:val="1"/>
                <w:color w:val="auto"/>
                <w:w w:val="93"/>
              </w:rPr>
              <w:t>incorporation or organization)</w:t>
            </w:r>
          </w:p>
        </w:tc>
        <w:tc>
          <w:tcPr>
            <w:tcW w:w="1580" w:type="dxa"/>
            <w:vAlign w:val="bottom"/>
          </w:tcPr>
          <w:p>
            <w:pPr>
              <w:spacing w:after="0"/>
              <w:rPr>
                <w:sz w:val="19"/>
                <w:szCs w:val="19"/>
                <w:color w:val="auto"/>
              </w:rPr>
            </w:pPr>
          </w:p>
        </w:tc>
        <w:tc>
          <w:tcPr>
            <w:tcW w:w="3460" w:type="dxa"/>
            <w:vAlign w:val="bottom"/>
            <w:gridSpan w:val="2"/>
          </w:tcPr>
          <w:p>
            <w:pPr>
              <w:jc w:val="center"/>
              <w:ind w:left="1392"/>
              <w:spacing w:after="0"/>
              <w:rPr>
                <w:sz w:val="20"/>
                <w:szCs w:val="20"/>
                <w:color w:val="auto"/>
              </w:rPr>
            </w:pPr>
            <w:r>
              <w:rPr>
                <w:rFonts w:ascii="Arial" w:cs="Arial" w:eastAsia="Arial" w:hAnsi="Arial"/>
                <w:sz w:val="18"/>
                <w:szCs w:val="18"/>
                <w:i w:val="1"/>
                <w:iCs w:val="1"/>
                <w:color w:val="auto"/>
                <w:w w:val="92"/>
              </w:rPr>
              <w:t>Identification No.)</w:t>
            </w:r>
          </w:p>
        </w:tc>
      </w:tr>
      <w:tr>
        <w:trPr>
          <w:trHeight w:val="407"/>
        </w:trPr>
        <w:tc>
          <w:tcPr>
            <w:tcW w:w="1960" w:type="dxa"/>
            <w:vAlign w:val="bottom"/>
          </w:tcPr>
          <w:p>
            <w:pPr>
              <w:spacing w:after="0"/>
              <w:rPr>
                <w:sz w:val="24"/>
                <w:szCs w:val="24"/>
                <w:color w:val="auto"/>
              </w:rPr>
            </w:pPr>
          </w:p>
        </w:tc>
        <w:tc>
          <w:tcPr>
            <w:tcW w:w="2500" w:type="dxa"/>
            <w:vAlign w:val="bottom"/>
            <w:gridSpan w:val="2"/>
          </w:tcPr>
          <w:p>
            <w:pPr>
              <w:jc w:val="center"/>
              <w:ind w:left="312"/>
              <w:spacing w:after="0"/>
              <w:rPr>
                <w:sz w:val="20"/>
                <w:szCs w:val="20"/>
                <w:color w:val="auto"/>
              </w:rPr>
            </w:pPr>
            <w:r>
              <w:rPr>
                <w:rFonts w:ascii="Arial" w:cs="Arial" w:eastAsia="Arial" w:hAnsi="Arial"/>
                <w:sz w:val="18"/>
                <w:szCs w:val="18"/>
                <w:b w:val="1"/>
                <w:bCs w:val="1"/>
                <w:color w:val="auto"/>
                <w:w w:val="88"/>
              </w:rPr>
              <w:t>312 Farmington Avenue,</w:t>
            </w: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8"/>
        </w:trPr>
        <w:tc>
          <w:tcPr>
            <w:tcW w:w="1960" w:type="dxa"/>
            <w:vAlign w:val="bottom"/>
          </w:tcPr>
          <w:p>
            <w:pPr>
              <w:spacing w:after="0"/>
              <w:rPr>
                <w:sz w:val="18"/>
                <w:szCs w:val="18"/>
                <w:color w:val="auto"/>
              </w:rPr>
            </w:pPr>
          </w:p>
        </w:tc>
        <w:tc>
          <w:tcPr>
            <w:tcW w:w="2500" w:type="dxa"/>
            <w:vAlign w:val="bottom"/>
            <w:gridSpan w:val="2"/>
          </w:tcPr>
          <w:p>
            <w:pPr>
              <w:jc w:val="center"/>
              <w:ind w:left="292"/>
              <w:spacing w:after="0"/>
              <w:rPr>
                <w:sz w:val="20"/>
                <w:szCs w:val="20"/>
                <w:color w:val="auto"/>
              </w:rPr>
            </w:pPr>
            <w:r>
              <w:rPr>
                <w:rFonts w:ascii="Arial" w:cs="Arial" w:eastAsia="Arial" w:hAnsi="Arial"/>
                <w:sz w:val="18"/>
                <w:szCs w:val="18"/>
                <w:b w:val="1"/>
                <w:bCs w:val="1"/>
                <w:color w:val="auto"/>
                <w:w w:val="93"/>
              </w:rPr>
              <w:t>Farmington, CT</w:t>
            </w:r>
          </w:p>
        </w:tc>
        <w:tc>
          <w:tcPr>
            <w:tcW w:w="600" w:type="dxa"/>
            <w:vAlign w:val="bottom"/>
          </w:tcPr>
          <w:p>
            <w:pPr>
              <w:spacing w:after="0"/>
              <w:rPr>
                <w:sz w:val="18"/>
                <w:szCs w:val="18"/>
                <w:color w:val="auto"/>
              </w:rPr>
            </w:pPr>
          </w:p>
        </w:tc>
        <w:tc>
          <w:tcPr>
            <w:tcW w:w="5040" w:type="dxa"/>
            <w:vAlign w:val="bottom"/>
            <w:gridSpan w:val="3"/>
          </w:tcPr>
          <w:p>
            <w:pPr>
              <w:jc w:val="right"/>
              <w:ind w:right="672"/>
              <w:spacing w:after="0"/>
              <w:rPr>
                <w:sz w:val="20"/>
                <w:szCs w:val="20"/>
                <w:color w:val="auto"/>
              </w:rPr>
            </w:pPr>
            <w:r>
              <w:rPr>
                <w:rFonts w:ascii="Arial" w:cs="Arial" w:eastAsia="Arial" w:hAnsi="Arial"/>
                <w:sz w:val="18"/>
                <w:szCs w:val="18"/>
                <w:b w:val="1"/>
                <w:bCs w:val="1"/>
                <w:color w:val="auto"/>
              </w:rPr>
              <w:t>06032</w:t>
            </w:r>
          </w:p>
        </w:tc>
      </w:tr>
      <w:tr>
        <w:trPr>
          <w:trHeight w:val="223"/>
        </w:trPr>
        <w:tc>
          <w:tcPr>
            <w:tcW w:w="1960" w:type="dxa"/>
            <w:vAlign w:val="bottom"/>
          </w:tcPr>
          <w:p>
            <w:pPr>
              <w:spacing w:after="0"/>
              <w:rPr>
                <w:sz w:val="19"/>
                <w:szCs w:val="19"/>
                <w:color w:val="auto"/>
              </w:rPr>
            </w:pPr>
          </w:p>
        </w:tc>
        <w:tc>
          <w:tcPr>
            <w:tcW w:w="3100" w:type="dxa"/>
            <w:vAlign w:val="bottom"/>
            <w:gridSpan w:val="3"/>
          </w:tcPr>
          <w:p>
            <w:pPr>
              <w:jc w:val="center"/>
              <w:ind w:right="132"/>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1580" w:type="dxa"/>
            <w:vAlign w:val="bottom"/>
          </w:tcPr>
          <w:p>
            <w:pPr>
              <w:spacing w:after="0"/>
              <w:rPr>
                <w:sz w:val="19"/>
                <w:szCs w:val="19"/>
                <w:color w:val="auto"/>
              </w:rPr>
            </w:pPr>
          </w:p>
        </w:tc>
        <w:tc>
          <w:tcPr>
            <w:tcW w:w="3460" w:type="dxa"/>
            <w:vAlign w:val="bottom"/>
            <w:gridSpan w:val="2"/>
          </w:tcPr>
          <w:p>
            <w:pPr>
              <w:jc w:val="center"/>
              <w:ind w:left="1392"/>
              <w:spacing w:after="0"/>
              <w:rPr>
                <w:sz w:val="20"/>
                <w:szCs w:val="20"/>
                <w:color w:val="auto"/>
              </w:rPr>
            </w:pPr>
            <w:r>
              <w:rPr>
                <w:rFonts w:ascii="Arial" w:cs="Arial" w:eastAsia="Arial" w:hAnsi="Arial"/>
                <w:sz w:val="18"/>
                <w:szCs w:val="18"/>
                <w:i w:val="1"/>
                <w:iCs w:val="1"/>
                <w:color w:val="auto"/>
                <w:w w:val="91"/>
              </w:rPr>
              <w:t>(Zip Code)</w:t>
            </w:r>
          </w:p>
        </w:tc>
      </w:tr>
      <w:tr>
        <w:trPr>
          <w:trHeight w:val="424"/>
        </w:trPr>
        <w:tc>
          <w:tcPr>
            <w:tcW w:w="1960" w:type="dxa"/>
            <w:vAlign w:val="bottom"/>
          </w:tcPr>
          <w:p>
            <w:pPr>
              <w:spacing w:after="0"/>
              <w:rPr>
                <w:sz w:val="24"/>
                <w:szCs w:val="24"/>
                <w:color w:val="auto"/>
              </w:rPr>
            </w:pPr>
          </w:p>
        </w:tc>
        <w:tc>
          <w:tcPr>
            <w:tcW w:w="7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Registrant’s telephone number, including area code (860) 676-8654</w:t>
            </w:r>
          </w:p>
        </w:tc>
        <w:tc>
          <w:tcPr>
            <w:tcW w:w="1100" w:type="dxa"/>
            <w:vAlign w:val="bottom"/>
          </w:tcPr>
          <w:p>
            <w:pPr>
              <w:spacing w:after="0"/>
              <w:rPr>
                <w:sz w:val="24"/>
                <w:szCs w:val="24"/>
                <w:color w:val="auto"/>
              </w:rPr>
            </w:pPr>
          </w:p>
        </w:tc>
      </w:tr>
      <w:tr>
        <w:trPr>
          <w:trHeight w:val="424"/>
        </w:trPr>
        <w:tc>
          <w:tcPr>
            <w:tcW w:w="1960" w:type="dxa"/>
            <w:vAlign w:val="bottom"/>
          </w:tcPr>
          <w:p>
            <w:pPr>
              <w:spacing w:after="0"/>
              <w:rPr>
                <w:sz w:val="24"/>
                <w:szCs w:val="24"/>
                <w:color w:val="auto"/>
              </w:rPr>
            </w:pPr>
          </w:p>
        </w:tc>
        <w:tc>
          <w:tcPr>
            <w:tcW w:w="7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1100" w:type="dxa"/>
            <w:vAlign w:val="bottom"/>
          </w:tcPr>
          <w:p>
            <w:pPr>
              <w:spacing w:after="0"/>
              <w:rPr>
                <w:sz w:val="24"/>
                <w:szCs w:val="24"/>
                <w:color w:val="auto"/>
              </w:rPr>
            </w:pPr>
          </w:p>
        </w:tc>
      </w:tr>
      <w:tr>
        <w:trPr>
          <w:trHeight w:val="386"/>
        </w:trPr>
        <w:tc>
          <w:tcPr>
            <w:tcW w:w="196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Title of Each Class</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1"/>
        </w:trPr>
        <w:tc>
          <w:tcPr>
            <w:tcW w:w="4460" w:type="dxa"/>
            <w:vAlign w:val="bottom"/>
            <w:gridSpan w:val="3"/>
          </w:tcPr>
          <w:p>
            <w:pPr>
              <w:jc w:val="center"/>
              <w:ind w:left="780"/>
              <w:spacing w:after="0"/>
              <w:rPr>
                <w:sz w:val="20"/>
                <w:szCs w:val="20"/>
                <w:color w:val="auto"/>
              </w:rPr>
            </w:pPr>
            <w:r>
              <w:rPr>
                <w:rFonts w:ascii="Arial" w:cs="Arial" w:eastAsia="Arial" w:hAnsi="Arial"/>
                <w:sz w:val="18"/>
                <w:szCs w:val="18"/>
                <w:color w:val="auto"/>
                <w:w w:val="87"/>
              </w:rPr>
              <w:t>Common Stock, par value $0.001 per share</w:t>
            </w:r>
          </w:p>
        </w:tc>
        <w:tc>
          <w:tcPr>
            <w:tcW w:w="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60" w:type="dxa"/>
            <w:vAlign w:val="bottom"/>
            <w:gridSpan w:val="2"/>
          </w:tcPr>
          <w:p>
            <w:pPr>
              <w:jc w:val="center"/>
              <w:spacing w:after="0"/>
              <w:rPr>
                <w:sz w:val="20"/>
                <w:szCs w:val="20"/>
                <w:color w:val="auto"/>
              </w:rPr>
            </w:pPr>
            <w:r>
              <w:rPr>
                <w:rFonts w:ascii="Arial" w:cs="Arial" w:eastAsia="Arial" w:hAnsi="Arial"/>
                <w:sz w:val="18"/>
                <w:szCs w:val="18"/>
                <w:color w:val="auto"/>
                <w:w w:val="90"/>
              </w:rPr>
              <w:t>The Nasdaq Stock Market LLC</w:t>
            </w:r>
          </w:p>
        </w:tc>
      </w:tr>
      <w:tr>
        <w:trPr>
          <w:trHeight w:val="424"/>
        </w:trPr>
        <w:tc>
          <w:tcPr>
            <w:tcW w:w="4460" w:type="dxa"/>
            <w:vAlign w:val="bottom"/>
            <w:gridSpan w:val="3"/>
          </w:tcPr>
          <w:p>
            <w:pPr>
              <w:jc w:val="center"/>
              <w:ind w:left="760"/>
              <w:spacing w:after="0"/>
              <w:rPr>
                <w:sz w:val="20"/>
                <w:szCs w:val="20"/>
                <w:color w:val="auto"/>
              </w:rPr>
            </w:pPr>
            <w:r>
              <w:rPr>
                <w:rFonts w:ascii="Arial" w:cs="Arial" w:eastAsia="Arial" w:hAnsi="Arial"/>
                <w:sz w:val="18"/>
                <w:szCs w:val="18"/>
                <w:color w:val="auto"/>
                <w:w w:val="87"/>
              </w:rPr>
              <w:t>6.25% Notes due 2022</w:t>
            </w: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60" w:type="dxa"/>
            <w:vAlign w:val="bottom"/>
            <w:gridSpan w:val="2"/>
          </w:tcPr>
          <w:p>
            <w:pPr>
              <w:jc w:val="center"/>
              <w:spacing w:after="0"/>
              <w:rPr>
                <w:sz w:val="20"/>
                <w:szCs w:val="20"/>
                <w:color w:val="auto"/>
              </w:rPr>
            </w:pPr>
            <w:r>
              <w:rPr>
                <w:rFonts w:ascii="Arial" w:cs="Arial" w:eastAsia="Arial" w:hAnsi="Arial"/>
                <w:sz w:val="18"/>
                <w:szCs w:val="18"/>
                <w:color w:val="auto"/>
                <w:w w:val="89"/>
              </w:rPr>
              <w:t>The New York Stock Exchange</w:t>
            </w:r>
          </w:p>
        </w:tc>
      </w:tr>
      <w:tr>
        <w:trPr>
          <w:trHeight w:val="407"/>
        </w:trPr>
        <w:tc>
          <w:tcPr>
            <w:tcW w:w="1960" w:type="dxa"/>
            <w:vAlign w:val="bottom"/>
          </w:tcPr>
          <w:p>
            <w:pPr>
              <w:spacing w:after="0"/>
              <w:rPr>
                <w:sz w:val="24"/>
                <w:szCs w:val="24"/>
                <w:color w:val="auto"/>
              </w:rPr>
            </w:pPr>
          </w:p>
        </w:tc>
        <w:tc>
          <w:tcPr>
            <w:tcW w:w="7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Securities registered pursuant to Section 12(g) of the Act:</w:t>
            </w:r>
          </w:p>
        </w:tc>
        <w:tc>
          <w:tcPr>
            <w:tcW w:w="1100" w:type="dxa"/>
            <w:vAlign w:val="bottom"/>
          </w:tcPr>
          <w:p>
            <w:pPr>
              <w:spacing w:after="0"/>
              <w:rPr>
                <w:sz w:val="24"/>
                <w:szCs w:val="24"/>
                <w:color w:val="auto"/>
              </w:rPr>
            </w:pPr>
          </w:p>
        </w:tc>
      </w:tr>
      <w:tr>
        <w:trPr>
          <w:trHeight w:val="229"/>
        </w:trPr>
        <w:tc>
          <w:tcPr>
            <w:tcW w:w="1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940" w:type="dxa"/>
            <w:vAlign w:val="bottom"/>
            <w:gridSpan w:val="2"/>
          </w:tcPr>
          <w:p>
            <w:pPr>
              <w:jc w:val="center"/>
              <w:ind w:right="2932"/>
              <w:spacing w:after="0"/>
              <w:rPr>
                <w:sz w:val="20"/>
                <w:szCs w:val="20"/>
                <w:color w:val="auto"/>
              </w:rPr>
            </w:pPr>
            <w:r>
              <w:rPr>
                <w:rFonts w:ascii="Arial" w:cs="Arial" w:eastAsia="Arial" w:hAnsi="Arial"/>
                <w:sz w:val="18"/>
                <w:szCs w:val="18"/>
                <w:b w:val="1"/>
                <w:bCs w:val="1"/>
                <w:color w:val="auto"/>
                <w:w w:val="88"/>
              </w:rPr>
              <w:t>None</w:t>
            </w:r>
          </w:p>
        </w:tc>
        <w:tc>
          <w:tcPr>
            <w:tcW w:w="1100" w:type="dxa"/>
            <w:vAlign w:val="bottom"/>
          </w:tcPr>
          <w:p>
            <w:pPr>
              <w:spacing w:after="0"/>
              <w:rPr>
                <w:sz w:val="19"/>
                <w:szCs w:val="19"/>
                <w:color w:val="auto"/>
              </w:rPr>
            </w:pPr>
          </w:p>
        </w:tc>
      </w:tr>
      <w:tr>
        <w:trPr>
          <w:trHeight w:val="444"/>
        </w:trPr>
        <w:tc>
          <w:tcPr>
            <w:tcW w:w="9000" w:type="dxa"/>
            <w:vAlign w:val="bottom"/>
            <w:gridSpan w:val="6"/>
          </w:tcPr>
          <w:p>
            <w:pPr>
              <w:spacing w:after="0" w:line="207" w:lineRule="exact"/>
              <w:rPr>
                <w:sz w:val="20"/>
                <w:szCs w:val="20"/>
                <w:color w:val="auto"/>
              </w:rPr>
            </w:pPr>
            <w:r>
              <w:rPr>
                <w:rFonts w:ascii="Arial" w:cs="Arial" w:eastAsia="Arial" w:hAnsi="Arial"/>
                <w:sz w:val="18"/>
                <w:szCs w:val="18"/>
                <w:color w:val="auto"/>
                <w:w w:val="90"/>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0"/>
              </w:rPr>
              <w:t>☐</w:t>
            </w:r>
          </w:p>
        </w:tc>
        <w:tc>
          <w:tcPr>
            <w:tcW w:w="1100" w:type="dxa"/>
            <w:vAlign w:val="bottom"/>
          </w:tcPr>
          <w:p>
            <w:pPr>
              <w:ind w:left="20"/>
              <w:spacing w:after="0"/>
              <w:rPr>
                <w:sz w:val="20"/>
                <w:szCs w:val="20"/>
                <w:color w:val="auto"/>
              </w:rPr>
            </w:pPr>
            <w:r>
              <w:rPr>
                <w:rFonts w:ascii="Arial" w:cs="Arial" w:eastAsia="Arial" w:hAnsi="Arial"/>
                <w:sz w:val="18"/>
                <w:szCs w:val="18"/>
                <w:color w:val="auto"/>
              </w:rPr>
              <w:t>No þ.</w:t>
            </w:r>
          </w:p>
        </w:tc>
      </w:tr>
      <w:tr>
        <w:trPr>
          <w:trHeight w:val="424"/>
        </w:trPr>
        <w:tc>
          <w:tcPr>
            <w:tcW w:w="9000" w:type="dxa"/>
            <w:vAlign w:val="bottom"/>
            <w:gridSpan w:val="6"/>
          </w:tcPr>
          <w:p>
            <w:pPr>
              <w:spacing w:after="0" w:line="207" w:lineRule="exact"/>
              <w:rPr>
                <w:sz w:val="20"/>
                <w:szCs w:val="20"/>
                <w:color w:val="auto"/>
              </w:rPr>
            </w:pPr>
            <w:r>
              <w:rPr>
                <w:rFonts w:ascii="Arial" w:cs="Arial" w:eastAsia="Arial" w:hAnsi="Arial"/>
                <w:sz w:val="18"/>
                <w:szCs w:val="18"/>
                <w:color w:val="auto"/>
                <w:w w:val="8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89"/>
              </w:rPr>
              <w:t>☐</w:t>
            </w:r>
          </w:p>
        </w:tc>
        <w:tc>
          <w:tcPr>
            <w:tcW w:w="1100" w:type="dxa"/>
            <w:vAlign w:val="bottom"/>
          </w:tcPr>
          <w:p>
            <w:pPr>
              <w:ind w:left="220"/>
              <w:spacing w:after="0"/>
              <w:rPr>
                <w:sz w:val="20"/>
                <w:szCs w:val="20"/>
                <w:color w:val="auto"/>
              </w:rPr>
            </w:pPr>
            <w:r>
              <w:rPr>
                <w:rFonts w:ascii="Arial" w:cs="Arial" w:eastAsia="Arial" w:hAnsi="Arial"/>
                <w:sz w:val="18"/>
                <w:szCs w:val="18"/>
                <w:color w:val="auto"/>
              </w:rPr>
              <w:t>No þ.</w:t>
            </w:r>
          </w:p>
        </w:tc>
      </w:tr>
    </w:tbl>
    <w:p>
      <w:pPr>
        <w:spacing w:after="0" w:line="181" w:lineRule="exact"/>
        <w:rPr>
          <w:sz w:val="24"/>
          <w:szCs w:val="24"/>
          <w:color w:val="auto"/>
        </w:rPr>
      </w:pPr>
    </w:p>
    <w:p>
      <w:pPr>
        <w:jc w:val="both"/>
        <w:ind w:firstLine="194"/>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þ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1" w:lineRule="exact"/>
        <w:rPr>
          <w:sz w:val="24"/>
          <w:szCs w:val="24"/>
          <w:color w:val="auto"/>
        </w:rPr>
      </w:pPr>
    </w:p>
    <w:p>
      <w:pPr>
        <w:jc w:val="both"/>
        <w:ind w:firstLine="194"/>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jc w:val="both"/>
        <w:ind w:firstLine="194"/>
        <w:spacing w:after="0" w:line="255"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þ</w:t>
      </w:r>
    </w:p>
    <w:p>
      <w:pPr>
        <w:spacing w:after="0" w:line="189"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420"/>
          </w:cols>
          <w:pgMar w:left="240" w:top="709" w:right="239" w:bottom="129" w:gutter="0" w:footer="0" w:header="0"/>
        </w:sectPr>
      </w:pPr>
    </w:p>
    <w:p>
      <w:pPr>
        <w:spacing w:after="0" w:line="154" w:lineRule="exact"/>
        <w:rPr>
          <w:sz w:val="24"/>
          <w:szCs w:val="24"/>
          <w:color w:val="auto"/>
        </w:rPr>
      </w:pPr>
    </w:p>
    <w:p>
      <w:pPr>
        <w:ind w:left="5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þ</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105" w:lineRule="exact"/>
        <w:rPr>
          <w:sz w:val="24"/>
          <w:szCs w:val="24"/>
          <w:color w:val="auto"/>
        </w:rPr>
      </w:pPr>
    </w:p>
    <w:p>
      <w:pPr>
        <w:sectPr>
          <w:pgSz w:w="11900" w:h="16838" w:orient="portrait"/>
          <w:cols w:equalWidth="0" w:num="4">
            <w:col w:w="2580" w:space="720"/>
            <w:col w:w="2000" w:space="720"/>
            <w:col w:w="2200" w:space="720"/>
            <w:col w:w="2480"/>
          </w:cols>
          <w:pgMar w:left="240" w:top="709" w:right="239" w:bottom="129" w:gutter="0" w:footer="0" w:header="0"/>
          <w:type w:val="continuous"/>
        </w:sectPr>
      </w:pPr>
    </w:p>
    <w:p>
      <w:pPr>
        <w:ind w:left="34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1420"/>
          </w:cols>
          <w:pgMar w:left="240" w:top="709" w:right="239" w:bottom="129" w:gutter="0" w:footer="0" w:header="0"/>
          <w:type w:val="continuous"/>
        </w:sectPr>
      </w:pPr>
    </w:p>
    <w:p>
      <w:pPr>
        <w:spacing w:after="0" w:line="220" w:lineRule="exact"/>
        <w:rPr>
          <w:sz w:val="24"/>
          <w:szCs w:val="24"/>
          <w:color w:val="auto"/>
        </w:rPr>
      </w:pPr>
    </w:p>
    <w:p>
      <w:pPr>
        <w:jc w:val="both"/>
        <w:ind w:firstLine="194"/>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7" w:lineRule="exact"/>
        <w:rPr>
          <w:sz w:val="24"/>
          <w:szCs w:val="24"/>
          <w:color w:val="auto"/>
        </w:rPr>
      </w:pPr>
    </w:p>
    <w:p>
      <w:pPr>
        <w:ind w:left="200"/>
        <w:spacing w:after="0" w:line="196" w:lineRule="exact"/>
        <w:tabs>
          <w:tab w:leader="none" w:pos="89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No þ.</w:t>
      </w:r>
    </w:p>
    <w:p>
      <w:pPr>
        <w:spacing w:after="0" w:line="263" w:lineRule="exact"/>
        <w:rPr>
          <w:sz w:val="24"/>
          <w:szCs w:val="24"/>
          <w:color w:val="auto"/>
        </w:rPr>
      </w:pPr>
    </w:p>
    <w:p>
      <w:pPr>
        <w:jc w:val="both"/>
        <w:ind w:firstLine="194"/>
        <w:spacing w:after="0" w:line="277" w:lineRule="auto"/>
        <w:rPr>
          <w:sz w:val="20"/>
          <w:szCs w:val="20"/>
          <w:color w:val="auto"/>
        </w:rPr>
      </w:pPr>
      <w:r>
        <w:rPr>
          <w:rFonts w:ascii="Arial" w:cs="Arial" w:eastAsia="Arial" w:hAnsi="Arial"/>
          <w:sz w:val="17"/>
          <w:szCs w:val="17"/>
          <w:color w:val="auto"/>
        </w:rPr>
        <w:t>The aggregate market value of common stock held by non-affiliates of the Registrant on June 29, 2018 based on the closing price on that date of $10.08 on the Nasdaq Global Select Market was $114.2 million. For the purposes of calculating this amount only, all directors and executive officers of the Registrant have been treated as affiliates. There were 11,537,420 shares of the Registrant’s common stock outstanding as of March 1, 2019.</w:t>
      </w:r>
    </w:p>
    <w:p>
      <w:pPr>
        <w:sectPr>
          <w:pgSz w:w="11900" w:h="16838" w:orient="portrait"/>
          <w:cols w:equalWidth="0" w:num="1">
            <w:col w:w="11420"/>
          </w:cols>
          <w:pgMar w:left="240" w:top="709" w:right="239" w:bottom="129" w:gutter="0" w:footer="0" w:header="0"/>
          <w:type w:val="continuous"/>
        </w:sectPr>
      </w:pPr>
    </w:p>
    <w:bookmarkStart w:id="1" w:name="page2"/>
    <w:bookmarkEnd w:id="1"/>
    <w:p>
      <w:pPr>
        <w:jc w:val="both"/>
        <w:ind w:firstLine="194"/>
        <w:spacing w:after="0" w:line="255" w:lineRule="auto"/>
        <w:rPr>
          <w:sz w:val="20"/>
          <w:szCs w:val="20"/>
          <w:color w:val="auto"/>
        </w:rPr>
      </w:pPr>
      <w:r>
        <w:rPr>
          <w:rFonts w:ascii="Arial" w:cs="Arial" w:eastAsia="Arial" w:hAnsi="Arial"/>
          <w:sz w:val="18"/>
          <w:szCs w:val="18"/>
          <w:color w:val="auto"/>
        </w:rPr>
        <w:t>Documents Incorporated by Reference: Portions of the Registrant’s Proxy Statement relating to the Registrant’s 2019 Annual Meeting of Stockholders to be filed not later than 120 days after the end of the fiscal year covered by this Annual Report on Form 10-K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49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wp:posOffset>
            </wp:positionV>
            <wp:extent cx="724916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574040</wp:posOffset>
            </wp:positionV>
            <wp:extent cx="7249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120" w:type="dxa"/>
            <w:vAlign w:val="bottom"/>
            <w:gridSpan w:val="12"/>
          </w:tcPr>
          <w:p>
            <w:pPr>
              <w:jc w:val="center"/>
              <w:ind w:right="2020"/>
              <w:spacing w:after="0"/>
              <w:rPr>
                <w:sz w:val="20"/>
                <w:szCs w:val="20"/>
                <w:color w:val="auto"/>
              </w:rPr>
            </w:pPr>
            <w:r>
              <w:rPr>
                <w:rFonts w:ascii="Arial" w:cs="Arial" w:eastAsia="Arial" w:hAnsi="Arial"/>
                <w:sz w:val="18"/>
                <w:szCs w:val="18"/>
                <w:b w:val="1"/>
                <w:bCs w:val="1"/>
                <w:color w:val="auto"/>
              </w:rPr>
              <w:t>HORIZON TECHNOLOGY FINANCE CORPORATION</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7"/>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00" w:type="dxa"/>
            <w:vAlign w:val="bottom"/>
            <w:gridSpan w:val="8"/>
          </w:tcPr>
          <w:p>
            <w:pPr>
              <w:jc w:val="center"/>
              <w:ind w:right="4020"/>
              <w:spacing w:after="0"/>
              <w:rPr>
                <w:sz w:val="20"/>
                <w:szCs w:val="20"/>
                <w:color w:val="auto"/>
              </w:rPr>
            </w:pPr>
            <w:r>
              <w:rPr>
                <w:rFonts w:ascii="Arial" w:cs="Arial" w:eastAsia="Arial" w:hAnsi="Arial"/>
                <w:sz w:val="18"/>
                <w:szCs w:val="18"/>
                <w:b w:val="1"/>
                <w:bCs w:val="1"/>
                <w:color w:val="auto"/>
                <w:w w:val="98"/>
              </w:rPr>
              <w:t>FORM 10-K</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120" w:type="dxa"/>
            <w:vAlign w:val="bottom"/>
            <w:gridSpan w:val="12"/>
          </w:tcPr>
          <w:p>
            <w:pPr>
              <w:jc w:val="center"/>
              <w:ind w:right="2000"/>
              <w:spacing w:after="0"/>
              <w:rPr>
                <w:sz w:val="20"/>
                <w:szCs w:val="20"/>
                <w:color w:val="auto"/>
              </w:rPr>
            </w:pPr>
            <w:r>
              <w:rPr>
                <w:rFonts w:ascii="Arial" w:cs="Arial" w:eastAsia="Arial" w:hAnsi="Arial"/>
                <w:sz w:val="18"/>
                <w:szCs w:val="18"/>
                <w:b w:val="1"/>
                <w:bCs w:val="1"/>
                <w:color w:val="auto"/>
                <w:w w:val="96"/>
              </w:rPr>
              <w:t>FOR THE YEAR ENDED DECEMBER 31, 2018</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4"/>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80" w:type="dxa"/>
            <w:vAlign w:val="bottom"/>
            <w:gridSpan w:val="11"/>
          </w:tcPr>
          <w:p>
            <w:pPr>
              <w:jc w:val="center"/>
              <w:ind w:right="2860"/>
              <w:spacing w:after="0"/>
              <w:rPr>
                <w:sz w:val="20"/>
                <w:szCs w:val="20"/>
                <w:color w:val="auto"/>
              </w:rPr>
            </w:pPr>
            <w:r>
              <w:rPr>
                <w:rFonts w:ascii="Arial" w:cs="Arial" w:eastAsia="Arial" w:hAnsi="Arial"/>
                <w:sz w:val="18"/>
                <w:szCs w:val="18"/>
                <w:b w:val="1"/>
                <w:bCs w:val="1"/>
                <w:color w:val="auto"/>
                <w:w w:val="97"/>
              </w:rPr>
              <w:t>TABLE OF CONTENTS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5"/>
        </w:trPr>
        <w:tc>
          <w:tcPr>
            <w:tcW w:w="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rPr>
              <w:t>Page</w:t>
            </w:r>
          </w:p>
        </w:tc>
      </w:tr>
      <w:tr>
        <w:trPr>
          <w:trHeight w:val="186"/>
        </w:trPr>
        <w:tc>
          <w:tcPr>
            <w:tcW w:w="5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60" w:type="dxa"/>
            <w:vAlign w:val="bottom"/>
            <w:tcBorders>
              <w:lef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5420" w:type="dxa"/>
            <w:vAlign w:val="bottom"/>
            <w:gridSpan w:val="9"/>
            <w:shd w:val="clear" w:color="auto" w:fill="CCEEFF"/>
          </w:tcPr>
          <w:p>
            <w:pPr>
              <w:jc w:val="center"/>
              <w:ind w:right="4860"/>
              <w:spacing w:after="0" w:line="166" w:lineRule="exact"/>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72"/>
        </w:trPr>
        <w:tc>
          <w:tcPr>
            <w:tcW w:w="1160" w:type="dxa"/>
            <w:vAlign w:val="bottom"/>
            <w:tcBorders>
              <w:top w:val="single" w:sz="8" w:color="CCEEFF"/>
            </w:tcBorders>
            <w:gridSpan w:val="3"/>
          </w:tcPr>
          <w:p>
            <w:pPr>
              <w:spacing w:after="0" w:line="17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3700" w:type="dxa"/>
            <w:vAlign w:val="bottom"/>
            <w:tcBorders>
              <w:top w:val="single" w:sz="8" w:color="CCEEFF"/>
            </w:tcBorders>
            <w:gridSpan w:val="9"/>
          </w:tcPr>
          <w:p>
            <w:pPr>
              <w:spacing w:after="0" w:line="17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tcBorders>
              <w:top w:val="single" w:sz="8" w:color="0000EE"/>
            </w:tcBorders>
            <w:gridSpan w:val="3"/>
          </w:tcPr>
          <w:p>
            <w:pPr>
              <w:spacing w:after="0"/>
              <w:rPr>
                <w:sz w:val="14"/>
                <w:szCs w:val="14"/>
                <w:color w:val="auto"/>
              </w:rPr>
            </w:pPr>
          </w:p>
        </w:tc>
        <w:tc>
          <w:tcPr>
            <w:tcW w:w="4860" w:type="dxa"/>
            <w:vAlign w:val="bottom"/>
            <w:tcBorders>
              <w:top w:val="single" w:sz="8" w:color="CCEEFF"/>
            </w:tcBorders>
            <w:gridSpan w:val="6"/>
          </w:tcPr>
          <w:p>
            <w:pPr>
              <w:spacing w:after="0"/>
              <w:rPr>
                <w:sz w:val="14"/>
                <w:szCs w:val="14"/>
                <w:color w:val="auto"/>
              </w:rPr>
            </w:pPr>
          </w:p>
        </w:tc>
        <w:tc>
          <w:tcPr>
            <w:tcW w:w="1140" w:type="dxa"/>
            <w:vAlign w:val="bottom"/>
            <w:tcBorders>
              <w:top w:val="single" w:sz="8" w:color="CCEEFF"/>
            </w:tcBorders>
            <w:gridSpan w:val="4"/>
          </w:tcPr>
          <w:p>
            <w:pPr>
              <w:jc w:val="right"/>
              <w:spacing w:after="0" w:line="172"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2"/>
        </w:trPr>
        <w:tc>
          <w:tcPr>
            <w:tcW w:w="600" w:type="dxa"/>
            <w:vAlign w:val="bottom"/>
            <w:tcBorders>
              <w:right w:val="single" w:sz="8" w:color="CCEEFF"/>
            </w:tcBorders>
            <w:gridSpan w:val="2"/>
            <w:shd w:val="clear" w:color="auto" w:fill="CCEEFF"/>
          </w:tcPr>
          <w:p>
            <w:pPr>
              <w:spacing w:after="0" w:line="192" w:lineRule="exact"/>
              <w:rPr>
                <w:rFonts w:ascii="Arial" w:cs="Arial" w:eastAsia="Arial" w:hAnsi="Arial"/>
                <w:sz w:val="18"/>
                <w:szCs w:val="18"/>
                <w:color w:val="0000EE"/>
                <w:w w:val="83"/>
              </w:rPr>
            </w:pPr>
            <w:hyperlink w:anchor="page26">
              <w:r>
                <w:rPr>
                  <w:rFonts w:ascii="Arial" w:cs="Arial" w:eastAsia="Arial" w:hAnsi="Arial"/>
                  <w:sz w:val="18"/>
                  <w:szCs w:val="18"/>
                  <w:color w:val="0000EE"/>
                  <w:w w:val="83"/>
                </w:rPr>
                <w:t>Item 1A.</w:t>
              </w:r>
            </w:hyperlink>
          </w:p>
        </w:tc>
        <w:tc>
          <w:tcPr>
            <w:tcW w:w="560" w:type="dxa"/>
            <w:vAlign w:val="bottom"/>
            <w:tcBorders>
              <w:left w:val="single" w:sz="8" w:color="CCEEFF"/>
            </w:tcBorders>
            <w:shd w:val="clear" w:color="auto" w:fill="CCEEFF"/>
          </w:tcPr>
          <w:p>
            <w:pPr>
              <w:spacing w:after="0"/>
              <w:rPr>
                <w:sz w:val="16"/>
                <w:szCs w:val="16"/>
                <w:color w:val="auto"/>
              </w:rPr>
            </w:pPr>
          </w:p>
        </w:tc>
        <w:tc>
          <w:tcPr>
            <w:tcW w:w="9120" w:type="dxa"/>
            <w:vAlign w:val="bottom"/>
            <w:gridSpan w:val="18"/>
            <w:shd w:val="clear" w:color="auto" w:fill="CCEEFF"/>
          </w:tcPr>
          <w:p>
            <w:pPr>
              <w:spacing w:after="0" w:line="192"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1140" w:type="dxa"/>
            <w:vAlign w:val="bottom"/>
            <w:gridSpan w:val="4"/>
            <w:shd w:val="clear" w:color="auto" w:fill="CCEEFF"/>
          </w:tcPr>
          <w:p>
            <w:pPr>
              <w:jc w:val="right"/>
              <w:spacing w:after="0" w:line="192" w:lineRule="exact"/>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40"/>
        </w:trPr>
        <w:tc>
          <w:tcPr>
            <w:tcW w:w="5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560" w:type="dxa"/>
            <w:vAlign w:val="bottom"/>
            <w:tcBorders>
              <w:left w:val="single" w:sz="8" w:color="0000EE"/>
            </w:tcBorders>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72"/>
        </w:trPr>
        <w:tc>
          <w:tcPr>
            <w:tcW w:w="600" w:type="dxa"/>
            <w:vAlign w:val="bottom"/>
            <w:gridSpan w:val="2"/>
          </w:tcPr>
          <w:p>
            <w:pPr>
              <w:spacing w:after="0" w:line="172" w:lineRule="exact"/>
              <w:rPr>
                <w:rFonts w:ascii="Arial" w:cs="Arial" w:eastAsia="Arial" w:hAnsi="Arial"/>
                <w:sz w:val="18"/>
                <w:szCs w:val="18"/>
                <w:color w:val="0000EE"/>
                <w:w w:val="83"/>
              </w:rPr>
            </w:pPr>
            <w:hyperlink w:anchor="page55">
              <w:r>
                <w:rPr>
                  <w:rFonts w:ascii="Arial" w:cs="Arial" w:eastAsia="Arial" w:hAnsi="Arial"/>
                  <w:sz w:val="18"/>
                  <w:szCs w:val="18"/>
                  <w:color w:val="0000EE"/>
                  <w:w w:val="83"/>
                </w:rPr>
                <w:t>Item 1B.</w:t>
              </w:r>
            </w:hyperlink>
          </w:p>
        </w:tc>
        <w:tc>
          <w:tcPr>
            <w:tcW w:w="560" w:type="dxa"/>
            <w:vAlign w:val="bottom"/>
          </w:tcPr>
          <w:p>
            <w:pPr>
              <w:spacing w:after="0"/>
              <w:rPr>
                <w:sz w:val="14"/>
                <w:szCs w:val="14"/>
                <w:color w:val="auto"/>
              </w:rPr>
            </w:pPr>
          </w:p>
        </w:tc>
        <w:tc>
          <w:tcPr>
            <w:tcW w:w="9120" w:type="dxa"/>
            <w:vAlign w:val="bottom"/>
            <w:gridSpan w:val="18"/>
          </w:tcPr>
          <w:p>
            <w:pPr>
              <w:spacing w:after="0" w:line="172" w:lineRule="exact"/>
              <w:rPr>
                <w:rFonts w:ascii="Arial" w:cs="Arial" w:eastAsia="Arial" w:hAnsi="Arial"/>
                <w:sz w:val="18"/>
                <w:szCs w:val="18"/>
                <w:color w:val="0000EE"/>
              </w:rPr>
            </w:pPr>
            <w:hyperlink w:anchor="page55">
              <w:r>
                <w:rPr>
                  <w:rFonts w:ascii="Arial" w:cs="Arial" w:eastAsia="Arial" w:hAnsi="Arial"/>
                  <w:sz w:val="18"/>
                  <w:szCs w:val="18"/>
                  <w:color w:val="0000EE"/>
                </w:rPr>
                <w:t>Unresolved Staff Comments</w:t>
              </w:r>
            </w:hyperlink>
          </w:p>
        </w:tc>
        <w:tc>
          <w:tcPr>
            <w:tcW w:w="1140" w:type="dxa"/>
            <w:vAlign w:val="bottom"/>
            <w:gridSpan w:val="4"/>
          </w:tcPr>
          <w:p>
            <w:pPr>
              <w:jc w:val="right"/>
              <w:spacing w:after="0" w:line="172" w:lineRule="exact"/>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r>
      <w:tr>
        <w:trPr>
          <w:trHeight w:val="192"/>
        </w:trPr>
        <w:tc>
          <w:tcPr>
            <w:tcW w:w="600" w:type="dxa"/>
            <w:vAlign w:val="bottom"/>
            <w:tcBorders>
              <w:top w:val="single" w:sz="8" w:color="0000EE"/>
              <w:right w:val="single" w:sz="8" w:color="CCEEFF"/>
            </w:tcBorders>
            <w:gridSpan w:val="2"/>
            <w:shd w:val="clear" w:color="auto" w:fill="CCEEFF"/>
          </w:tcPr>
          <w:p>
            <w:pPr>
              <w:spacing w:after="0" w:line="192" w:lineRule="exact"/>
              <w:rPr>
                <w:rFonts w:ascii="Arial" w:cs="Arial" w:eastAsia="Arial" w:hAnsi="Arial"/>
                <w:sz w:val="18"/>
                <w:szCs w:val="18"/>
                <w:color w:val="0000EE"/>
              </w:rPr>
            </w:pPr>
            <w:hyperlink w:anchor="page56">
              <w:r>
                <w:rPr>
                  <w:rFonts w:ascii="Arial" w:cs="Arial" w:eastAsia="Arial" w:hAnsi="Arial"/>
                  <w:sz w:val="18"/>
                  <w:szCs w:val="18"/>
                  <w:color w:val="0000EE"/>
                </w:rPr>
                <w:t>Item 2.</w:t>
              </w:r>
            </w:hyperlink>
          </w:p>
        </w:tc>
        <w:tc>
          <w:tcPr>
            <w:tcW w:w="560" w:type="dxa"/>
            <w:vAlign w:val="bottom"/>
            <w:tcBorders>
              <w:left w:val="single" w:sz="8" w:color="CCEEFF"/>
            </w:tcBorders>
            <w:shd w:val="clear" w:color="auto" w:fill="CCEEFF"/>
          </w:tcPr>
          <w:p>
            <w:pPr>
              <w:spacing w:after="0"/>
              <w:rPr>
                <w:sz w:val="16"/>
                <w:szCs w:val="16"/>
                <w:color w:val="auto"/>
              </w:rPr>
            </w:pPr>
          </w:p>
        </w:tc>
        <w:tc>
          <w:tcPr>
            <w:tcW w:w="2000" w:type="dxa"/>
            <w:vAlign w:val="bottom"/>
            <w:tcBorders>
              <w:top w:val="single" w:sz="8" w:color="0000EE"/>
            </w:tcBorders>
            <w:gridSpan w:val="6"/>
            <w:shd w:val="clear" w:color="auto" w:fill="CCEEFF"/>
          </w:tcPr>
          <w:p>
            <w:pPr>
              <w:spacing w:after="0" w:line="192" w:lineRule="exact"/>
              <w:rPr>
                <w:rFonts w:ascii="Arial" w:cs="Arial" w:eastAsia="Arial" w:hAnsi="Arial"/>
                <w:sz w:val="18"/>
                <w:szCs w:val="18"/>
                <w:color w:val="0000EE"/>
              </w:rPr>
            </w:pPr>
            <w:hyperlink w:anchor="page56">
              <w:r>
                <w:rPr>
                  <w:rFonts w:ascii="Arial" w:cs="Arial" w:eastAsia="Arial" w:hAnsi="Arial"/>
                  <w:sz w:val="18"/>
                  <w:szCs w:val="18"/>
                  <w:color w:val="0000EE"/>
                </w:rPr>
                <w:t>Properties</w:t>
              </w:r>
            </w:hyperlink>
          </w:p>
        </w:tc>
        <w:tc>
          <w:tcPr>
            <w:tcW w:w="7120" w:type="dxa"/>
            <w:vAlign w:val="bottom"/>
            <w:gridSpan w:val="12"/>
            <w:shd w:val="clear" w:color="auto" w:fill="CCEEFF"/>
          </w:tcPr>
          <w:p>
            <w:pPr>
              <w:spacing w:after="0"/>
              <w:rPr>
                <w:sz w:val="16"/>
                <w:szCs w:val="16"/>
                <w:color w:val="auto"/>
              </w:rPr>
            </w:pPr>
          </w:p>
        </w:tc>
        <w:tc>
          <w:tcPr>
            <w:tcW w:w="960" w:type="dxa"/>
            <w:vAlign w:val="bottom"/>
            <w:gridSpan w:val="2"/>
            <w:shd w:val="clear" w:color="auto" w:fill="CCEEFF"/>
          </w:tcPr>
          <w:p>
            <w:pPr>
              <w:spacing w:after="0"/>
              <w:rPr>
                <w:sz w:val="16"/>
                <w:szCs w:val="16"/>
                <w:color w:val="auto"/>
              </w:rPr>
            </w:pPr>
          </w:p>
        </w:tc>
        <w:tc>
          <w:tcPr>
            <w:tcW w:w="180" w:type="dxa"/>
            <w:vAlign w:val="bottom"/>
            <w:tcBorders>
              <w:top w:val="single" w:sz="8" w:color="0000EE"/>
            </w:tcBorders>
            <w:gridSpan w:val="2"/>
            <w:shd w:val="clear" w:color="auto" w:fill="CCEEFF"/>
          </w:tcPr>
          <w:p>
            <w:pPr>
              <w:jc w:val="right"/>
              <w:spacing w:after="0" w:line="19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55</w:t>
              </w:r>
            </w:hyperlink>
          </w:p>
        </w:tc>
      </w:tr>
      <w:tr>
        <w:trPr>
          <w:trHeight w:val="40"/>
        </w:trPr>
        <w:tc>
          <w:tcPr>
            <w:tcW w:w="500" w:type="dxa"/>
            <w:vAlign w:val="bottom"/>
            <w:shd w:val="clear" w:color="auto" w:fill="0000EE"/>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72"/>
        </w:trPr>
        <w:tc>
          <w:tcPr>
            <w:tcW w:w="1160" w:type="dxa"/>
            <w:vAlign w:val="bottom"/>
            <w:gridSpan w:val="3"/>
          </w:tcPr>
          <w:p>
            <w:pPr>
              <w:spacing w:after="0" w:line="172" w:lineRule="exact"/>
              <w:rPr>
                <w:rFonts w:ascii="Arial" w:cs="Arial" w:eastAsia="Arial" w:hAnsi="Arial"/>
                <w:sz w:val="18"/>
                <w:szCs w:val="18"/>
                <w:color w:val="0000EE"/>
              </w:rPr>
            </w:pPr>
            <w:hyperlink w:anchor="page56">
              <w:r>
                <w:rPr>
                  <w:rFonts w:ascii="Arial" w:cs="Arial" w:eastAsia="Arial" w:hAnsi="Arial"/>
                  <w:sz w:val="18"/>
                  <w:szCs w:val="18"/>
                  <w:color w:val="0000EE"/>
                </w:rPr>
                <w:t>Item 3.</w:t>
              </w:r>
            </w:hyperlink>
          </w:p>
        </w:tc>
        <w:tc>
          <w:tcPr>
            <w:tcW w:w="9120" w:type="dxa"/>
            <w:vAlign w:val="bottom"/>
            <w:gridSpan w:val="18"/>
          </w:tcPr>
          <w:p>
            <w:pPr>
              <w:spacing w:after="0" w:line="172"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1140" w:type="dxa"/>
            <w:vAlign w:val="bottom"/>
            <w:gridSpan w:val="4"/>
          </w:tcPr>
          <w:p>
            <w:pPr>
              <w:jc w:val="right"/>
              <w:spacing w:after="0" w:line="172" w:lineRule="exact"/>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12"/>
        </w:trPr>
        <w:tc>
          <w:tcPr>
            <w:tcW w:w="1160" w:type="dxa"/>
            <w:vAlign w:val="bottom"/>
            <w:gridSpan w:val="3"/>
            <w:shd w:val="clear" w:color="auto" w:fill="CCEEFF"/>
          </w:tcPr>
          <w:p>
            <w:pPr>
              <w:spacing w:after="0" w:line="192" w:lineRule="exact"/>
              <w:rPr>
                <w:rFonts w:ascii="Arial" w:cs="Arial" w:eastAsia="Arial" w:hAnsi="Arial"/>
                <w:sz w:val="18"/>
                <w:szCs w:val="18"/>
                <w:color w:val="0000EE"/>
              </w:rPr>
            </w:pPr>
            <w:hyperlink w:anchor="page56">
              <w:r>
                <w:rPr>
                  <w:rFonts w:ascii="Arial" w:cs="Arial" w:eastAsia="Arial" w:hAnsi="Arial"/>
                  <w:sz w:val="18"/>
                  <w:szCs w:val="18"/>
                  <w:color w:val="0000EE"/>
                </w:rPr>
                <w:t>Item 4.</w:t>
              </w:r>
            </w:hyperlink>
          </w:p>
        </w:tc>
        <w:tc>
          <w:tcPr>
            <w:tcW w:w="9120" w:type="dxa"/>
            <w:vAlign w:val="bottom"/>
            <w:gridSpan w:val="18"/>
            <w:shd w:val="clear" w:color="auto" w:fill="CCEEFF"/>
          </w:tcPr>
          <w:p>
            <w:pPr>
              <w:spacing w:after="0" w:line="192" w:lineRule="exact"/>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c>
          <w:tcPr>
            <w:tcW w:w="1140" w:type="dxa"/>
            <w:vAlign w:val="bottom"/>
            <w:gridSpan w:val="4"/>
            <w:shd w:val="clear" w:color="auto" w:fill="CCEEFF"/>
          </w:tcPr>
          <w:p>
            <w:pPr>
              <w:jc w:val="right"/>
              <w:spacing w:after="0" w:line="192" w:lineRule="exact"/>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r>
      <w:tr>
        <w:trPr>
          <w:trHeight w:val="212"/>
        </w:trPr>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r>
      <w:tr>
        <w:trPr>
          <w:trHeight w:val="172"/>
        </w:trPr>
        <w:tc>
          <w:tcPr>
            <w:tcW w:w="5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420" w:type="dxa"/>
            <w:vAlign w:val="bottom"/>
            <w:gridSpan w:val="9"/>
            <w:shd w:val="clear" w:color="auto" w:fill="CCEEFF"/>
          </w:tcPr>
          <w:p>
            <w:pPr>
              <w:jc w:val="center"/>
              <w:ind w:right="4820"/>
              <w:spacing w:after="0" w:line="172" w:lineRule="exact"/>
              <w:rPr>
                <w:rFonts w:ascii="Arial" w:cs="Arial" w:eastAsia="Arial" w:hAnsi="Arial"/>
                <w:sz w:val="18"/>
                <w:szCs w:val="18"/>
                <w:b w:val="1"/>
                <w:bCs w:val="1"/>
                <w:color w:val="0000EE"/>
                <w:w w:val="93"/>
              </w:rPr>
            </w:pPr>
            <w:hyperlink w:anchor="page57">
              <w:r>
                <w:rPr>
                  <w:rFonts w:ascii="Arial" w:cs="Arial" w:eastAsia="Arial" w:hAnsi="Arial"/>
                  <w:sz w:val="18"/>
                  <w:szCs w:val="18"/>
                  <w:b w:val="1"/>
                  <w:bCs w:val="1"/>
                  <w:color w:val="0000EE"/>
                  <w:w w:val="93"/>
                </w:rPr>
                <w:t>PART II</w:t>
              </w:r>
            </w:hyperlink>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40"/>
        </w:trPr>
        <w:tc>
          <w:tcPr>
            <w:tcW w:w="50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tcBorders>
              <w:right w:val="single" w:sz="8" w:color="0000EE"/>
            </w:tcBorders>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72"/>
        </w:trPr>
        <w:tc>
          <w:tcPr>
            <w:tcW w:w="1160" w:type="dxa"/>
            <w:vAlign w:val="bottom"/>
            <w:gridSpan w:val="3"/>
          </w:tcPr>
          <w:p>
            <w:pPr>
              <w:spacing w:after="0" w:line="172" w:lineRule="exact"/>
              <w:rPr>
                <w:rFonts w:ascii="Arial" w:cs="Arial" w:eastAsia="Arial" w:hAnsi="Arial"/>
                <w:sz w:val="18"/>
                <w:szCs w:val="18"/>
                <w:color w:val="0000EE"/>
              </w:rPr>
            </w:pPr>
            <w:hyperlink w:anchor="page57">
              <w:r>
                <w:rPr>
                  <w:rFonts w:ascii="Arial" w:cs="Arial" w:eastAsia="Arial" w:hAnsi="Arial"/>
                  <w:sz w:val="18"/>
                  <w:szCs w:val="18"/>
                  <w:color w:val="0000EE"/>
                </w:rPr>
                <w:t>Item 5.</w:t>
              </w:r>
            </w:hyperlink>
          </w:p>
        </w:tc>
        <w:tc>
          <w:tcPr>
            <w:tcW w:w="9120" w:type="dxa"/>
            <w:vAlign w:val="bottom"/>
            <w:gridSpan w:val="18"/>
          </w:tcPr>
          <w:p>
            <w:pPr>
              <w:spacing w:after="0" w:line="172" w:lineRule="exact"/>
              <w:rPr>
                <w:rFonts w:ascii="Arial" w:cs="Arial" w:eastAsia="Arial" w:hAnsi="Arial"/>
                <w:sz w:val="18"/>
                <w:szCs w:val="18"/>
                <w:color w:val="0000EE"/>
              </w:rPr>
            </w:pPr>
            <w:hyperlink w:anchor="page57">
              <w:r>
                <w:rPr>
                  <w:rFonts w:ascii="Arial" w:cs="Arial" w:eastAsia="Arial" w:hAnsi="Arial"/>
                  <w:sz w:val="18"/>
                  <w:szCs w:val="18"/>
                  <w:color w:val="0000EE"/>
                </w:rPr>
                <w:t>Market for Registrant’s Common Equity, Related Stockholder Matters and Issuer Purchases of Equity Securities</w:t>
              </w:r>
            </w:hyperlink>
          </w:p>
        </w:tc>
        <w:tc>
          <w:tcPr>
            <w:tcW w:w="1140" w:type="dxa"/>
            <w:vAlign w:val="bottom"/>
            <w:gridSpan w:val="4"/>
          </w:tcPr>
          <w:p>
            <w:pPr>
              <w:jc w:val="right"/>
              <w:spacing w:after="0" w:line="172" w:lineRule="exact"/>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2"/>
        </w:trPr>
        <w:tc>
          <w:tcPr>
            <w:tcW w:w="1160" w:type="dxa"/>
            <w:vAlign w:val="bottom"/>
            <w:gridSpan w:val="3"/>
            <w:shd w:val="clear" w:color="auto" w:fill="CCEEFF"/>
          </w:tcPr>
          <w:p>
            <w:pPr>
              <w:spacing w:after="0" w:line="192" w:lineRule="exact"/>
              <w:rPr>
                <w:rFonts w:ascii="Arial" w:cs="Arial" w:eastAsia="Arial" w:hAnsi="Arial"/>
                <w:sz w:val="18"/>
                <w:szCs w:val="18"/>
                <w:color w:val="0000EE"/>
              </w:rPr>
            </w:pPr>
            <w:hyperlink w:anchor="page60">
              <w:r>
                <w:rPr>
                  <w:rFonts w:ascii="Arial" w:cs="Arial" w:eastAsia="Arial" w:hAnsi="Arial"/>
                  <w:sz w:val="18"/>
                  <w:szCs w:val="18"/>
                  <w:color w:val="0000EE"/>
                </w:rPr>
                <w:t>Item 6.</w:t>
              </w:r>
            </w:hyperlink>
          </w:p>
        </w:tc>
        <w:tc>
          <w:tcPr>
            <w:tcW w:w="9120" w:type="dxa"/>
            <w:vAlign w:val="bottom"/>
            <w:gridSpan w:val="18"/>
            <w:shd w:val="clear" w:color="auto" w:fill="CCEEFF"/>
          </w:tcPr>
          <w:p>
            <w:pPr>
              <w:spacing w:after="0" w:line="192" w:lineRule="exact"/>
              <w:rPr>
                <w:rFonts w:ascii="Arial" w:cs="Arial" w:eastAsia="Arial" w:hAnsi="Arial"/>
                <w:sz w:val="18"/>
                <w:szCs w:val="18"/>
                <w:color w:val="0000EE"/>
              </w:rPr>
            </w:pPr>
            <w:hyperlink w:anchor="page60">
              <w:r>
                <w:rPr>
                  <w:rFonts w:ascii="Arial" w:cs="Arial" w:eastAsia="Arial" w:hAnsi="Arial"/>
                  <w:sz w:val="18"/>
                  <w:szCs w:val="18"/>
                  <w:color w:val="0000EE"/>
                </w:rPr>
                <w:t>Selected Financial Data</w:t>
              </w:r>
            </w:hyperlink>
          </w:p>
        </w:tc>
        <w:tc>
          <w:tcPr>
            <w:tcW w:w="1140" w:type="dxa"/>
            <w:vAlign w:val="bottom"/>
            <w:gridSpan w:val="4"/>
            <w:shd w:val="clear" w:color="auto" w:fill="CCEEFF"/>
          </w:tcPr>
          <w:p>
            <w:pPr>
              <w:jc w:val="right"/>
              <w:spacing w:after="0" w:line="192" w:lineRule="exact"/>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r>
      <w:tr>
        <w:trPr>
          <w:trHeight w:val="40"/>
        </w:trPr>
        <w:tc>
          <w:tcPr>
            <w:tcW w:w="500" w:type="dxa"/>
            <w:vAlign w:val="bottom"/>
            <w:shd w:val="clear" w:color="auto" w:fill="0000EE"/>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40" w:type="dxa"/>
            <w:vAlign w:val="bottom"/>
            <w:tcBorders>
              <w:right w:val="single" w:sz="8" w:color="CCEEFF"/>
            </w:tcBorders>
            <w:shd w:val="clear" w:color="auto" w:fill="0000EE"/>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72"/>
        </w:trPr>
        <w:tc>
          <w:tcPr>
            <w:tcW w:w="1160" w:type="dxa"/>
            <w:vAlign w:val="bottom"/>
            <w:gridSpan w:val="3"/>
          </w:tcPr>
          <w:p>
            <w:pPr>
              <w:spacing w:after="0" w:line="172" w:lineRule="exact"/>
              <w:rPr>
                <w:rFonts w:ascii="Arial" w:cs="Arial" w:eastAsia="Arial" w:hAnsi="Arial"/>
                <w:sz w:val="18"/>
                <w:szCs w:val="18"/>
                <w:color w:val="0000EE"/>
              </w:rPr>
            </w:pPr>
            <w:hyperlink w:anchor="page61">
              <w:r>
                <w:rPr>
                  <w:rFonts w:ascii="Arial" w:cs="Arial" w:eastAsia="Arial" w:hAnsi="Arial"/>
                  <w:sz w:val="18"/>
                  <w:szCs w:val="18"/>
                  <w:color w:val="0000EE"/>
                </w:rPr>
                <w:t>Item 7.</w:t>
              </w:r>
            </w:hyperlink>
          </w:p>
        </w:tc>
        <w:tc>
          <w:tcPr>
            <w:tcW w:w="9120" w:type="dxa"/>
            <w:vAlign w:val="bottom"/>
            <w:gridSpan w:val="18"/>
          </w:tcPr>
          <w:p>
            <w:pPr>
              <w:spacing w:after="0" w:line="172"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1140" w:type="dxa"/>
            <w:vAlign w:val="bottom"/>
            <w:gridSpan w:val="4"/>
          </w:tcPr>
          <w:p>
            <w:pPr>
              <w:jc w:val="right"/>
              <w:spacing w:after="0" w:line="172"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12"/>
        </w:trPr>
        <w:tc>
          <w:tcPr>
            <w:tcW w:w="600" w:type="dxa"/>
            <w:vAlign w:val="bottom"/>
            <w:tcBorders>
              <w:bottom w:val="single" w:sz="8" w:color="0000EE"/>
              <w:right w:val="single" w:sz="8" w:color="CCEEFF"/>
            </w:tcBorders>
            <w:gridSpan w:val="2"/>
            <w:shd w:val="clear" w:color="auto" w:fill="CCEEFF"/>
          </w:tcPr>
          <w:p>
            <w:pPr>
              <w:spacing w:after="0" w:line="192" w:lineRule="exact"/>
              <w:rPr>
                <w:rFonts w:ascii="Arial" w:cs="Arial" w:eastAsia="Arial" w:hAnsi="Arial"/>
                <w:sz w:val="18"/>
                <w:szCs w:val="18"/>
                <w:color w:val="0000EE"/>
                <w:w w:val="83"/>
              </w:rPr>
            </w:pPr>
            <w:hyperlink w:anchor="page77">
              <w:r>
                <w:rPr>
                  <w:rFonts w:ascii="Arial" w:cs="Arial" w:eastAsia="Arial" w:hAnsi="Arial"/>
                  <w:sz w:val="18"/>
                  <w:szCs w:val="18"/>
                  <w:color w:val="0000EE"/>
                  <w:w w:val="83"/>
                </w:rPr>
                <w:t>Item 7A.</w:t>
              </w:r>
            </w:hyperlink>
          </w:p>
        </w:tc>
        <w:tc>
          <w:tcPr>
            <w:tcW w:w="560" w:type="dxa"/>
            <w:vAlign w:val="bottom"/>
            <w:tcBorders>
              <w:left w:val="single" w:sz="8" w:color="CCEEFF"/>
              <w:bottom w:val="single" w:sz="8" w:color="CCEEFF"/>
            </w:tcBorders>
            <w:shd w:val="clear" w:color="auto" w:fill="CCEEFF"/>
          </w:tcPr>
          <w:p>
            <w:pPr>
              <w:spacing w:after="0"/>
              <w:rPr>
                <w:sz w:val="18"/>
                <w:szCs w:val="18"/>
                <w:color w:val="auto"/>
              </w:rPr>
            </w:pPr>
          </w:p>
        </w:tc>
        <w:tc>
          <w:tcPr>
            <w:tcW w:w="4340" w:type="dxa"/>
            <w:vAlign w:val="bottom"/>
            <w:tcBorders>
              <w:bottom w:val="single" w:sz="8" w:color="0000EE"/>
              <w:right w:val="single" w:sz="8" w:color="CCEEFF"/>
            </w:tcBorders>
            <w:gridSpan w:val="13"/>
            <w:shd w:val="clear" w:color="auto" w:fill="CCEEFF"/>
          </w:tcPr>
          <w:p>
            <w:pPr>
              <w:spacing w:after="0" w:line="192"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Quantitative and Qualitative Disclosures About Market Risk</w:t>
              </w:r>
            </w:hyperlink>
          </w:p>
        </w:tc>
        <w:tc>
          <w:tcPr>
            <w:tcW w:w="4780" w:type="dxa"/>
            <w:vAlign w:val="bottom"/>
            <w:tcBorders>
              <w:bottom w:val="single" w:sz="8" w:color="CCEEFF"/>
            </w:tcBorders>
            <w:gridSpan w:val="5"/>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2"/>
            <w:shd w:val="clear" w:color="auto" w:fill="CCEEFF"/>
          </w:tcPr>
          <w:p>
            <w:pPr>
              <w:jc w:val="right"/>
              <w:spacing w:after="0" w:line="19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76</w:t>
              </w:r>
            </w:hyperlink>
          </w:p>
        </w:tc>
      </w:tr>
      <w:tr>
        <w:trPr>
          <w:trHeight w:val="172"/>
        </w:trPr>
        <w:tc>
          <w:tcPr>
            <w:tcW w:w="1160" w:type="dxa"/>
            <w:vAlign w:val="bottom"/>
            <w:gridSpan w:val="3"/>
          </w:tcPr>
          <w:p>
            <w:pPr>
              <w:spacing w:after="0" w:line="172" w:lineRule="exact"/>
              <w:rPr>
                <w:rFonts w:ascii="Arial" w:cs="Arial" w:eastAsia="Arial" w:hAnsi="Arial"/>
                <w:sz w:val="18"/>
                <w:szCs w:val="18"/>
                <w:color w:val="0000EE"/>
              </w:rPr>
            </w:pPr>
            <w:hyperlink w:anchor="page78">
              <w:r>
                <w:rPr>
                  <w:rFonts w:ascii="Arial" w:cs="Arial" w:eastAsia="Arial" w:hAnsi="Arial"/>
                  <w:sz w:val="18"/>
                  <w:szCs w:val="18"/>
                  <w:color w:val="0000EE"/>
                </w:rPr>
                <w:t>Item 8.</w:t>
              </w:r>
            </w:hyperlink>
          </w:p>
        </w:tc>
        <w:tc>
          <w:tcPr>
            <w:tcW w:w="9120" w:type="dxa"/>
            <w:vAlign w:val="bottom"/>
            <w:gridSpan w:val="18"/>
          </w:tcPr>
          <w:p>
            <w:pPr>
              <w:spacing w:after="0" w:line="172"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Financial Statements and Supplementary Data</w:t>
              </w:r>
            </w:hyperlink>
          </w:p>
        </w:tc>
        <w:tc>
          <w:tcPr>
            <w:tcW w:w="1140" w:type="dxa"/>
            <w:vAlign w:val="bottom"/>
            <w:gridSpan w:val="4"/>
          </w:tcPr>
          <w:p>
            <w:pPr>
              <w:jc w:val="right"/>
              <w:spacing w:after="0" w:line="172" w:lineRule="exact"/>
              <w:rPr>
                <w:rFonts w:ascii="Arial" w:cs="Arial" w:eastAsia="Arial" w:hAnsi="Arial"/>
                <w:sz w:val="18"/>
                <w:szCs w:val="18"/>
                <w:color w:val="0000EE"/>
              </w:rPr>
            </w:pPr>
            <w:hyperlink w:anchor="page78">
              <w:r>
                <w:rPr>
                  <w:rFonts w:ascii="Arial" w:cs="Arial" w:eastAsia="Arial" w:hAnsi="Arial"/>
                  <w:sz w:val="18"/>
                  <w:szCs w:val="18"/>
                  <w:color w:val="0000EE"/>
                </w:rPr>
                <w:t>77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2"/>
        </w:trPr>
        <w:tc>
          <w:tcPr>
            <w:tcW w:w="1160" w:type="dxa"/>
            <w:vAlign w:val="bottom"/>
            <w:gridSpan w:val="3"/>
            <w:shd w:val="clear" w:color="auto" w:fill="CCEEFF"/>
          </w:tcPr>
          <w:p>
            <w:pPr>
              <w:spacing w:after="0" w:line="192" w:lineRule="exact"/>
              <w:rPr>
                <w:rFonts w:ascii="Arial" w:cs="Arial" w:eastAsia="Arial" w:hAnsi="Arial"/>
                <w:sz w:val="18"/>
                <w:szCs w:val="18"/>
                <w:color w:val="0000EE"/>
              </w:rPr>
            </w:pPr>
            <w:hyperlink w:anchor="page127">
              <w:r>
                <w:rPr>
                  <w:rFonts w:ascii="Arial" w:cs="Arial" w:eastAsia="Arial" w:hAnsi="Arial"/>
                  <w:sz w:val="18"/>
                  <w:szCs w:val="18"/>
                  <w:color w:val="0000EE"/>
                </w:rPr>
                <w:t>Item 9.</w:t>
              </w:r>
            </w:hyperlink>
          </w:p>
        </w:tc>
        <w:tc>
          <w:tcPr>
            <w:tcW w:w="9120" w:type="dxa"/>
            <w:vAlign w:val="bottom"/>
            <w:gridSpan w:val="18"/>
            <w:shd w:val="clear" w:color="auto" w:fill="CCEEFF"/>
          </w:tcPr>
          <w:p>
            <w:pPr>
              <w:spacing w:after="0" w:line="192" w:lineRule="exact"/>
              <w:rPr>
                <w:rFonts w:ascii="Arial" w:cs="Arial" w:eastAsia="Arial" w:hAnsi="Arial"/>
                <w:sz w:val="18"/>
                <w:szCs w:val="18"/>
                <w:color w:val="0000EE"/>
              </w:rPr>
            </w:pPr>
            <w:hyperlink w:anchor="page127">
              <w:r>
                <w:rPr>
                  <w:rFonts w:ascii="Arial" w:cs="Arial" w:eastAsia="Arial" w:hAnsi="Arial"/>
                  <w:sz w:val="18"/>
                  <w:szCs w:val="18"/>
                  <w:color w:val="0000EE"/>
                </w:rPr>
                <w:t>Changes in and Disagreements with Accountants on Accounting and Financial Disclosure</w:t>
              </w:r>
            </w:hyperlink>
          </w:p>
        </w:tc>
        <w:tc>
          <w:tcPr>
            <w:tcW w:w="1140" w:type="dxa"/>
            <w:vAlign w:val="bottom"/>
            <w:gridSpan w:val="4"/>
            <w:shd w:val="clear" w:color="auto" w:fill="CCEEFF"/>
          </w:tcPr>
          <w:p>
            <w:pPr>
              <w:jc w:val="right"/>
              <w:spacing w:after="0" w:line="192" w:lineRule="exact"/>
              <w:rPr>
                <w:rFonts w:ascii="Arial" w:cs="Arial" w:eastAsia="Arial" w:hAnsi="Arial"/>
                <w:sz w:val="18"/>
                <w:szCs w:val="18"/>
                <w:color w:val="0000EE"/>
              </w:rPr>
            </w:pPr>
            <w:hyperlink w:anchor="page127">
              <w:r>
                <w:rPr>
                  <w:rFonts w:ascii="Arial" w:cs="Arial" w:eastAsia="Arial" w:hAnsi="Arial"/>
                  <w:sz w:val="18"/>
                  <w:szCs w:val="18"/>
                  <w:color w:val="0000EE"/>
                </w:rPr>
                <w:t>125</w:t>
              </w:r>
            </w:hyperlink>
          </w:p>
        </w:tc>
      </w:tr>
      <w:tr>
        <w:trPr>
          <w:trHeight w:val="40"/>
        </w:trPr>
        <w:tc>
          <w:tcPr>
            <w:tcW w:w="500" w:type="dxa"/>
            <w:vAlign w:val="bottom"/>
            <w:shd w:val="clear" w:color="auto" w:fill="0000EE"/>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40" w:type="dxa"/>
            <w:vAlign w:val="bottom"/>
            <w:tcBorders>
              <w:right w:val="single" w:sz="8" w:color="0000EE"/>
            </w:tcBorders>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840" w:type="dxa"/>
            <w:vAlign w:val="bottom"/>
            <w:tcBorders>
              <w:right w:val="single" w:sz="8" w:color="0000EE"/>
            </w:tcBorders>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02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820" w:type="dxa"/>
            <w:vAlign w:val="bottom"/>
            <w:tcBorders>
              <w:left w:val="single" w:sz="8" w:color="0000EE"/>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72"/>
        </w:trPr>
        <w:tc>
          <w:tcPr>
            <w:tcW w:w="600" w:type="dxa"/>
            <w:vAlign w:val="bottom"/>
            <w:gridSpan w:val="2"/>
          </w:tcPr>
          <w:p>
            <w:pPr>
              <w:spacing w:after="0" w:line="172" w:lineRule="exact"/>
              <w:rPr>
                <w:rFonts w:ascii="Arial" w:cs="Arial" w:eastAsia="Arial" w:hAnsi="Arial"/>
                <w:sz w:val="18"/>
                <w:szCs w:val="18"/>
                <w:color w:val="0000EE"/>
                <w:w w:val="83"/>
              </w:rPr>
            </w:pPr>
            <w:hyperlink w:anchor="page127">
              <w:r>
                <w:rPr>
                  <w:rFonts w:ascii="Arial" w:cs="Arial" w:eastAsia="Arial" w:hAnsi="Arial"/>
                  <w:sz w:val="18"/>
                  <w:szCs w:val="18"/>
                  <w:color w:val="0000EE"/>
                  <w:w w:val="83"/>
                </w:rPr>
                <w:t>Item 9A.</w:t>
              </w:r>
            </w:hyperlink>
          </w:p>
        </w:tc>
        <w:tc>
          <w:tcPr>
            <w:tcW w:w="560" w:type="dxa"/>
            <w:vAlign w:val="bottom"/>
          </w:tcPr>
          <w:p>
            <w:pPr>
              <w:spacing w:after="0"/>
              <w:rPr>
                <w:sz w:val="14"/>
                <w:szCs w:val="14"/>
                <w:color w:val="auto"/>
              </w:rPr>
            </w:pPr>
          </w:p>
        </w:tc>
        <w:tc>
          <w:tcPr>
            <w:tcW w:w="1740" w:type="dxa"/>
            <w:vAlign w:val="bottom"/>
            <w:gridSpan w:val="5"/>
          </w:tcPr>
          <w:p>
            <w:pPr>
              <w:spacing w:after="0" w:line="172" w:lineRule="exact"/>
              <w:rPr>
                <w:rFonts w:ascii="Arial" w:cs="Arial" w:eastAsia="Arial" w:hAnsi="Arial"/>
                <w:sz w:val="18"/>
                <w:szCs w:val="18"/>
                <w:color w:val="0000EE"/>
                <w:w w:val="85"/>
              </w:rPr>
            </w:pPr>
            <w:hyperlink w:anchor="page127">
              <w:r>
                <w:rPr>
                  <w:rFonts w:ascii="Arial" w:cs="Arial" w:eastAsia="Arial" w:hAnsi="Arial"/>
                  <w:sz w:val="18"/>
                  <w:szCs w:val="18"/>
                  <w:color w:val="0000EE"/>
                  <w:w w:val="85"/>
                </w:rPr>
                <w:t>Controls and Procedures</w:t>
              </w:r>
            </w:hyperlink>
          </w:p>
        </w:tc>
        <w:tc>
          <w:tcPr>
            <w:tcW w:w="7380" w:type="dxa"/>
            <w:vAlign w:val="bottom"/>
            <w:gridSpan w:val="13"/>
          </w:tcPr>
          <w:p>
            <w:pPr>
              <w:spacing w:after="0"/>
              <w:rPr>
                <w:sz w:val="14"/>
                <w:szCs w:val="14"/>
                <w:color w:val="auto"/>
              </w:rPr>
            </w:pPr>
          </w:p>
        </w:tc>
        <w:tc>
          <w:tcPr>
            <w:tcW w:w="1140" w:type="dxa"/>
            <w:vAlign w:val="bottom"/>
            <w:gridSpan w:val="4"/>
          </w:tcPr>
          <w:p>
            <w:pPr>
              <w:jc w:val="right"/>
              <w:spacing w:after="0" w:line="172" w:lineRule="exact"/>
              <w:rPr>
                <w:rFonts w:ascii="Arial" w:cs="Arial" w:eastAsia="Arial" w:hAnsi="Arial"/>
                <w:sz w:val="18"/>
                <w:szCs w:val="18"/>
                <w:color w:val="0000EE"/>
              </w:rPr>
            </w:pPr>
            <w:hyperlink w:anchor="page127">
              <w:r>
                <w:rPr>
                  <w:rFonts w:ascii="Arial" w:cs="Arial" w:eastAsia="Arial" w:hAnsi="Arial"/>
                  <w:sz w:val="18"/>
                  <w:szCs w:val="18"/>
                  <w:color w:val="0000EE"/>
                </w:rPr>
                <w:t>125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12"/>
        </w:trPr>
        <w:tc>
          <w:tcPr>
            <w:tcW w:w="600" w:type="dxa"/>
            <w:vAlign w:val="bottom"/>
            <w:tcBorders>
              <w:right w:val="single" w:sz="8" w:color="CCEEFF"/>
            </w:tcBorders>
            <w:gridSpan w:val="2"/>
            <w:shd w:val="clear" w:color="auto" w:fill="CCEEFF"/>
          </w:tcPr>
          <w:p>
            <w:pPr>
              <w:spacing w:after="0" w:line="192" w:lineRule="exact"/>
              <w:rPr>
                <w:rFonts w:ascii="Arial" w:cs="Arial" w:eastAsia="Arial" w:hAnsi="Arial"/>
                <w:sz w:val="18"/>
                <w:szCs w:val="18"/>
                <w:color w:val="0000EE"/>
                <w:w w:val="83"/>
              </w:rPr>
            </w:pPr>
            <w:hyperlink w:anchor="page127">
              <w:r>
                <w:rPr>
                  <w:rFonts w:ascii="Arial" w:cs="Arial" w:eastAsia="Arial" w:hAnsi="Arial"/>
                  <w:sz w:val="18"/>
                  <w:szCs w:val="18"/>
                  <w:color w:val="0000EE"/>
                  <w:w w:val="83"/>
                </w:rPr>
                <w:t>Item 9B.</w:t>
              </w:r>
            </w:hyperlink>
          </w:p>
        </w:tc>
        <w:tc>
          <w:tcPr>
            <w:tcW w:w="560" w:type="dxa"/>
            <w:vAlign w:val="bottom"/>
            <w:tcBorders>
              <w:left w:val="single" w:sz="8" w:color="CCEEFF"/>
            </w:tcBorders>
            <w:shd w:val="clear" w:color="auto" w:fill="CCEEFF"/>
          </w:tcPr>
          <w:p>
            <w:pPr>
              <w:spacing w:after="0"/>
              <w:rPr>
                <w:sz w:val="18"/>
                <w:szCs w:val="18"/>
                <w:color w:val="auto"/>
              </w:rPr>
            </w:pPr>
          </w:p>
        </w:tc>
        <w:tc>
          <w:tcPr>
            <w:tcW w:w="1740" w:type="dxa"/>
            <w:vAlign w:val="bottom"/>
            <w:tcBorders>
              <w:right w:val="single" w:sz="8" w:color="CCEEFF"/>
            </w:tcBorders>
            <w:gridSpan w:val="5"/>
            <w:shd w:val="clear" w:color="auto" w:fill="CCEEFF"/>
          </w:tcPr>
          <w:p>
            <w:pPr>
              <w:spacing w:after="0" w:line="192" w:lineRule="exact"/>
              <w:rPr>
                <w:rFonts w:ascii="Arial" w:cs="Arial" w:eastAsia="Arial" w:hAnsi="Arial"/>
                <w:sz w:val="18"/>
                <w:szCs w:val="18"/>
                <w:color w:val="0000EE"/>
              </w:rPr>
            </w:pPr>
            <w:hyperlink w:anchor="page127">
              <w:r>
                <w:rPr>
                  <w:rFonts w:ascii="Arial" w:cs="Arial" w:eastAsia="Arial" w:hAnsi="Arial"/>
                  <w:sz w:val="18"/>
                  <w:szCs w:val="18"/>
                  <w:color w:val="0000EE"/>
                </w:rPr>
                <w:t>Other Information</w:t>
              </w:r>
            </w:hyperlink>
          </w:p>
        </w:tc>
        <w:tc>
          <w:tcPr>
            <w:tcW w:w="7380" w:type="dxa"/>
            <w:vAlign w:val="bottom"/>
            <w:tcBorders>
              <w:left w:val="single" w:sz="8" w:color="CCEEFF"/>
            </w:tcBorders>
            <w:gridSpan w:val="13"/>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line="192" w:lineRule="exact"/>
              <w:rPr>
                <w:rFonts w:ascii="Arial" w:cs="Arial" w:eastAsia="Arial" w:hAnsi="Arial"/>
                <w:sz w:val="18"/>
                <w:szCs w:val="18"/>
                <w:color w:val="0000EE"/>
              </w:rPr>
            </w:pPr>
            <w:hyperlink w:anchor="page127">
              <w:r>
                <w:rPr>
                  <w:rFonts w:ascii="Arial" w:cs="Arial" w:eastAsia="Arial" w:hAnsi="Arial"/>
                  <w:sz w:val="18"/>
                  <w:szCs w:val="18"/>
                  <w:color w:val="0000EE"/>
                </w:rPr>
                <w:t>125</w:t>
              </w:r>
            </w:hyperlink>
          </w:p>
        </w:tc>
      </w:tr>
      <w:tr>
        <w:trPr>
          <w:trHeight w:val="212"/>
        </w:trPr>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r>
      <w:tr>
        <w:trPr>
          <w:trHeight w:val="192"/>
        </w:trPr>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560" w:type="dxa"/>
            <w:vAlign w:val="bottom"/>
            <w:tcBorders>
              <w:left w:val="single" w:sz="8" w:color="CCEEFF"/>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right w:val="single" w:sz="8" w:color="CCEEFF"/>
            </w:tcBorders>
            <w:shd w:val="clear" w:color="auto" w:fill="CCEEFF"/>
          </w:tcPr>
          <w:p>
            <w:pPr>
              <w:spacing w:after="0"/>
              <w:rPr>
                <w:sz w:val="16"/>
                <w:szCs w:val="16"/>
                <w:color w:val="auto"/>
              </w:rPr>
            </w:pPr>
          </w:p>
        </w:tc>
        <w:tc>
          <w:tcPr>
            <w:tcW w:w="260" w:type="dxa"/>
            <w:vAlign w:val="bottom"/>
            <w:tcBorders>
              <w:left w:val="single" w:sz="8" w:color="CCEEFF"/>
              <w:bottom w:val="single" w:sz="8" w:color="CCEEFF"/>
            </w:tcBorders>
            <w:shd w:val="clear" w:color="auto" w:fill="CCEEFF"/>
          </w:tcPr>
          <w:p>
            <w:pPr>
              <w:spacing w:after="0"/>
              <w:rPr>
                <w:sz w:val="16"/>
                <w:szCs w:val="16"/>
                <w:color w:val="auto"/>
              </w:rPr>
            </w:pPr>
          </w:p>
        </w:tc>
        <w:tc>
          <w:tcPr>
            <w:tcW w:w="840" w:type="dxa"/>
            <w:vAlign w:val="bottom"/>
            <w:tcBorders>
              <w:bottom w:val="single" w:sz="8" w:color="CCEEFF"/>
              <w:right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0000EE"/>
              <w:right w:val="single" w:sz="8" w:color="CCEEFF"/>
            </w:tcBorders>
            <w:gridSpan w:val="5"/>
            <w:shd w:val="clear" w:color="auto" w:fill="CCEEFF"/>
          </w:tcPr>
          <w:p>
            <w:pPr>
              <w:jc w:val="center"/>
              <w:spacing w:after="0" w:line="172" w:lineRule="exact"/>
              <w:rPr>
                <w:rFonts w:ascii="Arial" w:cs="Arial" w:eastAsia="Arial" w:hAnsi="Arial"/>
                <w:sz w:val="18"/>
                <w:szCs w:val="18"/>
                <w:b w:val="1"/>
                <w:bCs w:val="1"/>
                <w:color w:val="0000EE"/>
              </w:rPr>
            </w:pPr>
            <w:hyperlink w:anchor="page128">
              <w:r>
                <w:rPr>
                  <w:rFonts w:ascii="Arial" w:cs="Arial" w:eastAsia="Arial" w:hAnsi="Arial"/>
                  <w:sz w:val="18"/>
                  <w:szCs w:val="18"/>
                  <w:b w:val="1"/>
                  <w:bCs w:val="1"/>
                  <w:color w:val="0000EE"/>
                </w:rPr>
                <w:t>PART III</w:t>
              </w:r>
            </w:hyperlink>
          </w:p>
        </w:tc>
        <w:tc>
          <w:tcPr>
            <w:tcW w:w="4780" w:type="dxa"/>
            <w:vAlign w:val="bottom"/>
            <w:tcBorders>
              <w:bottom w:val="single" w:sz="8" w:color="CCEEFF"/>
            </w:tcBorders>
            <w:gridSpan w:val="5"/>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172"/>
        </w:trPr>
        <w:tc>
          <w:tcPr>
            <w:tcW w:w="600" w:type="dxa"/>
            <w:vAlign w:val="bottom"/>
            <w:gridSpan w:val="2"/>
          </w:tcPr>
          <w:p>
            <w:pPr>
              <w:spacing w:after="0" w:line="172" w:lineRule="exact"/>
              <w:rPr>
                <w:rFonts w:ascii="Arial" w:cs="Arial" w:eastAsia="Arial" w:hAnsi="Arial"/>
                <w:sz w:val="18"/>
                <w:szCs w:val="18"/>
                <w:color w:val="0000EE"/>
                <w:w w:val="86"/>
              </w:rPr>
            </w:pPr>
            <w:hyperlink w:anchor="page128">
              <w:r>
                <w:rPr>
                  <w:rFonts w:ascii="Arial" w:cs="Arial" w:eastAsia="Arial" w:hAnsi="Arial"/>
                  <w:sz w:val="18"/>
                  <w:szCs w:val="18"/>
                  <w:color w:val="0000EE"/>
                  <w:w w:val="86"/>
                </w:rPr>
                <w:t>Item 10.</w:t>
              </w:r>
            </w:hyperlink>
          </w:p>
        </w:tc>
        <w:tc>
          <w:tcPr>
            <w:tcW w:w="560" w:type="dxa"/>
            <w:vAlign w:val="bottom"/>
          </w:tcPr>
          <w:p>
            <w:pPr>
              <w:spacing w:after="0"/>
              <w:rPr>
                <w:sz w:val="14"/>
                <w:szCs w:val="14"/>
                <w:color w:val="auto"/>
              </w:rPr>
            </w:pPr>
          </w:p>
        </w:tc>
        <w:tc>
          <w:tcPr>
            <w:tcW w:w="4020" w:type="dxa"/>
            <w:vAlign w:val="bottom"/>
            <w:gridSpan w:val="10"/>
          </w:tcPr>
          <w:p>
            <w:pPr>
              <w:spacing w:after="0" w:line="172" w:lineRule="exact"/>
              <w:rPr>
                <w:rFonts w:ascii="Arial" w:cs="Arial" w:eastAsia="Arial" w:hAnsi="Arial"/>
                <w:sz w:val="18"/>
                <w:szCs w:val="18"/>
                <w:color w:val="0000EE"/>
                <w:w w:val="88"/>
              </w:rPr>
            </w:pPr>
            <w:hyperlink w:anchor="page128">
              <w:r>
                <w:rPr>
                  <w:rFonts w:ascii="Arial" w:cs="Arial" w:eastAsia="Arial" w:hAnsi="Arial"/>
                  <w:sz w:val="18"/>
                  <w:szCs w:val="18"/>
                  <w:color w:val="0000EE"/>
                  <w:w w:val="88"/>
                </w:rPr>
                <w:t>Directors, Executive Officers and Corporate Governance</w:t>
              </w:r>
            </w:hyperlink>
          </w:p>
        </w:tc>
        <w:tc>
          <w:tcPr>
            <w:tcW w:w="5100" w:type="dxa"/>
            <w:vAlign w:val="bottom"/>
            <w:gridSpan w:val="8"/>
          </w:tcPr>
          <w:p>
            <w:pPr>
              <w:spacing w:after="0"/>
              <w:rPr>
                <w:sz w:val="14"/>
                <w:szCs w:val="14"/>
                <w:color w:val="auto"/>
              </w:rPr>
            </w:pPr>
          </w:p>
        </w:tc>
        <w:tc>
          <w:tcPr>
            <w:tcW w:w="1140" w:type="dxa"/>
            <w:vAlign w:val="bottom"/>
            <w:gridSpan w:val="4"/>
          </w:tcPr>
          <w:p>
            <w:pPr>
              <w:jc w:val="right"/>
              <w:spacing w:after="0" w:line="172" w:lineRule="exact"/>
              <w:rPr>
                <w:rFonts w:ascii="Arial" w:cs="Arial" w:eastAsia="Arial" w:hAnsi="Arial"/>
                <w:sz w:val="18"/>
                <w:szCs w:val="18"/>
                <w:color w:val="0000EE"/>
              </w:rPr>
            </w:pPr>
            <w:hyperlink w:anchor="page128">
              <w:r>
                <w:rPr>
                  <w:rFonts w:ascii="Arial" w:cs="Arial" w:eastAsia="Arial" w:hAnsi="Arial"/>
                  <w:sz w:val="18"/>
                  <w:szCs w:val="18"/>
                  <w:color w:val="0000EE"/>
                </w:rPr>
                <w:t>126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2"/>
        </w:trPr>
        <w:tc>
          <w:tcPr>
            <w:tcW w:w="600" w:type="dxa"/>
            <w:vAlign w:val="bottom"/>
            <w:tcBorders>
              <w:right w:val="single" w:sz="8" w:color="CCEEFF"/>
            </w:tcBorders>
            <w:gridSpan w:val="2"/>
            <w:shd w:val="clear" w:color="auto" w:fill="CCEEFF"/>
          </w:tcPr>
          <w:p>
            <w:pPr>
              <w:spacing w:after="0" w:line="192" w:lineRule="exact"/>
              <w:rPr>
                <w:rFonts w:ascii="Arial" w:cs="Arial" w:eastAsia="Arial" w:hAnsi="Arial"/>
                <w:sz w:val="18"/>
                <w:szCs w:val="18"/>
                <w:color w:val="0000EE"/>
                <w:w w:val="86"/>
              </w:rPr>
            </w:pPr>
            <w:hyperlink w:anchor="page128">
              <w:r>
                <w:rPr>
                  <w:rFonts w:ascii="Arial" w:cs="Arial" w:eastAsia="Arial" w:hAnsi="Arial"/>
                  <w:sz w:val="18"/>
                  <w:szCs w:val="18"/>
                  <w:color w:val="0000EE"/>
                  <w:w w:val="86"/>
                </w:rPr>
                <w:t>Item 11.</w:t>
              </w:r>
            </w:hyperlink>
          </w:p>
        </w:tc>
        <w:tc>
          <w:tcPr>
            <w:tcW w:w="560" w:type="dxa"/>
            <w:vAlign w:val="bottom"/>
            <w:tcBorders>
              <w:left w:val="single" w:sz="8" w:color="CCEEFF"/>
            </w:tcBorders>
            <w:shd w:val="clear" w:color="auto" w:fill="CCEEFF"/>
          </w:tcPr>
          <w:p>
            <w:pPr>
              <w:spacing w:after="0"/>
              <w:rPr>
                <w:sz w:val="16"/>
                <w:szCs w:val="16"/>
                <w:color w:val="auto"/>
              </w:rPr>
            </w:pPr>
          </w:p>
        </w:tc>
        <w:tc>
          <w:tcPr>
            <w:tcW w:w="4020" w:type="dxa"/>
            <w:vAlign w:val="bottom"/>
            <w:gridSpan w:val="10"/>
            <w:shd w:val="clear" w:color="auto" w:fill="CCEEFF"/>
          </w:tcPr>
          <w:p>
            <w:pPr>
              <w:spacing w:after="0" w:line="192" w:lineRule="exact"/>
              <w:rPr>
                <w:rFonts w:ascii="Arial" w:cs="Arial" w:eastAsia="Arial" w:hAnsi="Arial"/>
                <w:sz w:val="18"/>
                <w:szCs w:val="18"/>
                <w:color w:val="0000EE"/>
              </w:rPr>
            </w:pPr>
            <w:hyperlink w:anchor="page128">
              <w:r>
                <w:rPr>
                  <w:rFonts w:ascii="Arial" w:cs="Arial" w:eastAsia="Arial" w:hAnsi="Arial"/>
                  <w:sz w:val="18"/>
                  <w:szCs w:val="18"/>
                  <w:color w:val="0000EE"/>
                </w:rPr>
                <w:t>Executive Compensation</w:t>
              </w:r>
            </w:hyperlink>
          </w:p>
        </w:tc>
        <w:tc>
          <w:tcPr>
            <w:tcW w:w="5100" w:type="dxa"/>
            <w:vAlign w:val="bottom"/>
            <w:gridSpan w:val="8"/>
            <w:shd w:val="clear" w:color="auto" w:fill="CCEEFF"/>
          </w:tcPr>
          <w:p>
            <w:pPr>
              <w:spacing w:after="0"/>
              <w:rPr>
                <w:sz w:val="16"/>
                <w:szCs w:val="16"/>
                <w:color w:val="auto"/>
              </w:rPr>
            </w:pPr>
          </w:p>
        </w:tc>
        <w:tc>
          <w:tcPr>
            <w:tcW w:w="1140" w:type="dxa"/>
            <w:vAlign w:val="bottom"/>
            <w:gridSpan w:val="4"/>
            <w:shd w:val="clear" w:color="auto" w:fill="CCEEFF"/>
          </w:tcPr>
          <w:p>
            <w:pPr>
              <w:jc w:val="right"/>
              <w:spacing w:after="0" w:line="192" w:lineRule="exact"/>
              <w:rPr>
                <w:rFonts w:ascii="Arial" w:cs="Arial" w:eastAsia="Arial" w:hAnsi="Arial"/>
                <w:sz w:val="18"/>
                <w:szCs w:val="18"/>
                <w:color w:val="0000EE"/>
              </w:rPr>
            </w:pPr>
            <w:hyperlink w:anchor="page128">
              <w:r>
                <w:rPr>
                  <w:rFonts w:ascii="Arial" w:cs="Arial" w:eastAsia="Arial" w:hAnsi="Arial"/>
                  <w:sz w:val="18"/>
                  <w:szCs w:val="18"/>
                  <w:color w:val="0000EE"/>
                </w:rPr>
                <w:t>126</w:t>
              </w:r>
            </w:hyperlink>
          </w:p>
        </w:tc>
      </w:tr>
      <w:tr>
        <w:trPr>
          <w:trHeight w:val="40"/>
        </w:trPr>
        <w:tc>
          <w:tcPr>
            <w:tcW w:w="500" w:type="dxa"/>
            <w:vAlign w:val="bottom"/>
            <w:shd w:val="clear" w:color="auto" w:fill="0000EE"/>
          </w:tcPr>
          <w:p>
            <w:pPr>
              <w:spacing w:after="0"/>
              <w:rPr>
                <w:sz w:val="3"/>
                <w:szCs w:val="3"/>
                <w:color w:val="auto"/>
              </w:rPr>
            </w:pPr>
          </w:p>
        </w:tc>
        <w:tc>
          <w:tcPr>
            <w:tcW w:w="100" w:type="dxa"/>
            <w:vAlign w:val="bottom"/>
            <w:tcBorders>
              <w:right w:val="single" w:sz="8" w:color="CCEEFF"/>
            </w:tcBorders>
            <w:shd w:val="clear" w:color="auto" w:fill="0000EE"/>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40" w:type="dxa"/>
            <w:vAlign w:val="bottom"/>
            <w:tcBorders>
              <w:right w:val="single" w:sz="8" w:color="0000EE"/>
            </w:tcBorders>
            <w:shd w:val="clear" w:color="auto" w:fill="0000EE"/>
          </w:tcPr>
          <w:p>
            <w:pPr>
              <w:spacing w:after="0"/>
              <w:rPr>
                <w:sz w:val="3"/>
                <w:szCs w:val="3"/>
                <w:color w:val="auto"/>
              </w:rPr>
            </w:pPr>
          </w:p>
        </w:tc>
        <w:tc>
          <w:tcPr>
            <w:tcW w:w="260" w:type="dxa"/>
            <w:vAlign w:val="bottom"/>
            <w:tcBorders>
              <w:left w:val="single" w:sz="8" w:color="0000EE"/>
            </w:tcBorders>
            <w:shd w:val="clear" w:color="auto" w:fill="CCEEFF"/>
          </w:tcPr>
          <w:p>
            <w:pPr>
              <w:spacing w:after="0"/>
              <w:rPr>
                <w:sz w:val="3"/>
                <w:szCs w:val="3"/>
                <w:color w:val="auto"/>
              </w:rPr>
            </w:pPr>
          </w:p>
        </w:tc>
        <w:tc>
          <w:tcPr>
            <w:tcW w:w="84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72"/>
        </w:trPr>
        <w:tc>
          <w:tcPr>
            <w:tcW w:w="600" w:type="dxa"/>
            <w:vAlign w:val="bottom"/>
            <w:gridSpan w:val="2"/>
          </w:tcPr>
          <w:p>
            <w:pPr>
              <w:spacing w:after="0" w:line="172" w:lineRule="exact"/>
              <w:rPr>
                <w:rFonts w:ascii="Arial" w:cs="Arial" w:eastAsia="Arial" w:hAnsi="Arial"/>
                <w:sz w:val="18"/>
                <w:szCs w:val="18"/>
                <w:color w:val="0000EE"/>
                <w:w w:val="86"/>
              </w:rPr>
            </w:pPr>
            <w:hyperlink w:anchor="page128">
              <w:r>
                <w:rPr>
                  <w:rFonts w:ascii="Arial" w:cs="Arial" w:eastAsia="Arial" w:hAnsi="Arial"/>
                  <w:sz w:val="18"/>
                  <w:szCs w:val="18"/>
                  <w:color w:val="0000EE"/>
                  <w:w w:val="86"/>
                </w:rPr>
                <w:t>Item 12.</w:t>
              </w:r>
            </w:hyperlink>
          </w:p>
        </w:tc>
        <w:tc>
          <w:tcPr>
            <w:tcW w:w="560" w:type="dxa"/>
            <w:vAlign w:val="bottom"/>
          </w:tcPr>
          <w:p>
            <w:pPr>
              <w:spacing w:after="0"/>
              <w:rPr>
                <w:sz w:val="14"/>
                <w:szCs w:val="14"/>
                <w:color w:val="auto"/>
              </w:rPr>
            </w:pPr>
          </w:p>
        </w:tc>
        <w:tc>
          <w:tcPr>
            <w:tcW w:w="7160" w:type="dxa"/>
            <w:vAlign w:val="bottom"/>
            <w:gridSpan w:val="16"/>
          </w:tcPr>
          <w:p>
            <w:pPr>
              <w:spacing w:after="0" w:line="172" w:lineRule="exact"/>
              <w:rPr>
                <w:rFonts w:ascii="Arial" w:cs="Arial" w:eastAsia="Arial" w:hAnsi="Arial"/>
                <w:sz w:val="18"/>
                <w:szCs w:val="18"/>
                <w:color w:val="0000EE"/>
                <w:w w:val="89"/>
              </w:rPr>
            </w:pPr>
            <w:hyperlink w:anchor="page128">
              <w:r>
                <w:rPr>
                  <w:rFonts w:ascii="Arial" w:cs="Arial" w:eastAsia="Arial" w:hAnsi="Arial"/>
                  <w:sz w:val="18"/>
                  <w:szCs w:val="18"/>
                  <w:color w:val="0000EE"/>
                  <w:w w:val="89"/>
                </w:rPr>
                <w:t>Security Ownership of Certain Beneficial Owners and Management and Related Stockholder Matters</w:t>
              </w:r>
            </w:hyperlink>
          </w:p>
        </w:tc>
        <w:tc>
          <w:tcPr>
            <w:tcW w:w="1960" w:type="dxa"/>
            <w:vAlign w:val="bottom"/>
            <w:gridSpan w:val="2"/>
          </w:tcPr>
          <w:p>
            <w:pPr>
              <w:spacing w:after="0"/>
              <w:rPr>
                <w:sz w:val="14"/>
                <w:szCs w:val="14"/>
                <w:color w:val="auto"/>
              </w:rPr>
            </w:pPr>
          </w:p>
        </w:tc>
        <w:tc>
          <w:tcPr>
            <w:tcW w:w="1140" w:type="dxa"/>
            <w:vAlign w:val="bottom"/>
            <w:gridSpan w:val="4"/>
          </w:tcPr>
          <w:p>
            <w:pPr>
              <w:jc w:val="right"/>
              <w:spacing w:after="0" w:line="172" w:lineRule="exact"/>
              <w:rPr>
                <w:rFonts w:ascii="Arial" w:cs="Arial" w:eastAsia="Arial" w:hAnsi="Arial"/>
                <w:sz w:val="18"/>
                <w:szCs w:val="18"/>
                <w:color w:val="0000EE"/>
              </w:rPr>
            </w:pPr>
            <w:hyperlink w:anchor="page128">
              <w:r>
                <w:rPr>
                  <w:rFonts w:ascii="Arial" w:cs="Arial" w:eastAsia="Arial" w:hAnsi="Arial"/>
                  <w:sz w:val="18"/>
                  <w:szCs w:val="18"/>
                  <w:color w:val="0000EE"/>
                </w:rPr>
                <w:t>126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2"/>
        </w:trPr>
        <w:tc>
          <w:tcPr>
            <w:tcW w:w="600" w:type="dxa"/>
            <w:vAlign w:val="bottom"/>
            <w:tcBorders>
              <w:right w:val="single" w:sz="8" w:color="CCEEFF"/>
            </w:tcBorders>
            <w:gridSpan w:val="2"/>
            <w:shd w:val="clear" w:color="auto" w:fill="CCEEFF"/>
          </w:tcPr>
          <w:p>
            <w:pPr>
              <w:spacing w:after="0" w:line="192" w:lineRule="exact"/>
              <w:rPr>
                <w:rFonts w:ascii="Arial" w:cs="Arial" w:eastAsia="Arial" w:hAnsi="Arial"/>
                <w:sz w:val="18"/>
                <w:szCs w:val="18"/>
                <w:color w:val="0000EE"/>
                <w:w w:val="86"/>
              </w:rPr>
            </w:pPr>
            <w:hyperlink w:anchor="page128">
              <w:r>
                <w:rPr>
                  <w:rFonts w:ascii="Arial" w:cs="Arial" w:eastAsia="Arial" w:hAnsi="Arial"/>
                  <w:sz w:val="18"/>
                  <w:szCs w:val="18"/>
                  <w:color w:val="0000EE"/>
                  <w:w w:val="86"/>
                </w:rPr>
                <w:t>Item 13.</w:t>
              </w:r>
            </w:hyperlink>
          </w:p>
        </w:tc>
        <w:tc>
          <w:tcPr>
            <w:tcW w:w="560" w:type="dxa"/>
            <w:vAlign w:val="bottom"/>
            <w:tcBorders>
              <w:left w:val="single" w:sz="8" w:color="CCEEFF"/>
            </w:tcBorders>
            <w:shd w:val="clear" w:color="auto" w:fill="CCEEFF"/>
          </w:tcPr>
          <w:p>
            <w:pPr>
              <w:spacing w:after="0"/>
              <w:rPr>
                <w:sz w:val="16"/>
                <w:szCs w:val="16"/>
                <w:color w:val="auto"/>
              </w:rPr>
            </w:pPr>
          </w:p>
        </w:tc>
        <w:tc>
          <w:tcPr>
            <w:tcW w:w="5360" w:type="dxa"/>
            <w:vAlign w:val="bottom"/>
            <w:gridSpan w:val="14"/>
            <w:shd w:val="clear" w:color="auto" w:fill="CCEEFF"/>
          </w:tcPr>
          <w:p>
            <w:pPr>
              <w:spacing w:after="0" w:line="192" w:lineRule="exact"/>
              <w:rPr>
                <w:rFonts w:ascii="Arial" w:cs="Arial" w:eastAsia="Arial" w:hAnsi="Arial"/>
                <w:sz w:val="18"/>
                <w:szCs w:val="18"/>
                <w:color w:val="0000EE"/>
                <w:w w:val="87"/>
              </w:rPr>
            </w:pPr>
            <w:hyperlink w:anchor="page128">
              <w:r>
                <w:rPr>
                  <w:rFonts w:ascii="Arial" w:cs="Arial" w:eastAsia="Arial" w:hAnsi="Arial"/>
                  <w:sz w:val="18"/>
                  <w:szCs w:val="18"/>
                  <w:color w:val="0000EE"/>
                  <w:w w:val="87"/>
                </w:rPr>
                <w:t>Certain Relationships and Related Transactions, and Director Independence</w:t>
              </w:r>
            </w:hyperlink>
          </w:p>
        </w:tc>
        <w:tc>
          <w:tcPr>
            <w:tcW w:w="1800" w:type="dxa"/>
            <w:vAlign w:val="bottom"/>
            <w:gridSpan w:val="2"/>
            <w:shd w:val="clear" w:color="auto" w:fill="CCEEFF"/>
          </w:tcPr>
          <w:p>
            <w:pPr>
              <w:spacing w:after="0"/>
              <w:rPr>
                <w:sz w:val="16"/>
                <w:szCs w:val="16"/>
                <w:color w:val="auto"/>
              </w:rPr>
            </w:pPr>
          </w:p>
        </w:tc>
        <w:tc>
          <w:tcPr>
            <w:tcW w:w="1960" w:type="dxa"/>
            <w:vAlign w:val="bottom"/>
            <w:gridSpan w:val="2"/>
            <w:shd w:val="clear" w:color="auto" w:fill="CCEEFF"/>
          </w:tcPr>
          <w:p>
            <w:pPr>
              <w:spacing w:after="0"/>
              <w:rPr>
                <w:sz w:val="16"/>
                <w:szCs w:val="16"/>
                <w:color w:val="auto"/>
              </w:rPr>
            </w:pPr>
          </w:p>
        </w:tc>
        <w:tc>
          <w:tcPr>
            <w:tcW w:w="1140" w:type="dxa"/>
            <w:vAlign w:val="bottom"/>
            <w:gridSpan w:val="4"/>
            <w:shd w:val="clear" w:color="auto" w:fill="CCEEFF"/>
          </w:tcPr>
          <w:p>
            <w:pPr>
              <w:jc w:val="right"/>
              <w:spacing w:after="0" w:line="192" w:lineRule="exact"/>
              <w:rPr>
                <w:rFonts w:ascii="Arial" w:cs="Arial" w:eastAsia="Arial" w:hAnsi="Arial"/>
                <w:sz w:val="18"/>
                <w:szCs w:val="18"/>
                <w:color w:val="0000EE"/>
              </w:rPr>
            </w:pPr>
            <w:hyperlink w:anchor="page128">
              <w:r>
                <w:rPr>
                  <w:rFonts w:ascii="Arial" w:cs="Arial" w:eastAsia="Arial" w:hAnsi="Arial"/>
                  <w:sz w:val="18"/>
                  <w:szCs w:val="18"/>
                  <w:color w:val="0000EE"/>
                </w:rPr>
                <w:t>126</w:t>
              </w:r>
            </w:hyperlink>
          </w:p>
        </w:tc>
      </w:tr>
      <w:tr>
        <w:trPr>
          <w:trHeight w:val="40"/>
        </w:trPr>
        <w:tc>
          <w:tcPr>
            <w:tcW w:w="5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40" w:type="dxa"/>
            <w:vAlign w:val="bottom"/>
            <w:tcBorders>
              <w:right w:val="single" w:sz="8" w:color="0000EE"/>
            </w:tcBorders>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840" w:type="dxa"/>
            <w:vAlign w:val="bottom"/>
            <w:tcBorders>
              <w:right w:val="single" w:sz="8" w:color="0000EE"/>
            </w:tcBorders>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1020" w:type="dxa"/>
            <w:vAlign w:val="bottom"/>
            <w:shd w:val="clear" w:color="auto" w:fill="0000EE"/>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82"/>
        </w:trPr>
        <w:tc>
          <w:tcPr>
            <w:tcW w:w="600" w:type="dxa"/>
            <w:vAlign w:val="bottom"/>
            <w:gridSpan w:val="2"/>
          </w:tcPr>
          <w:p>
            <w:pPr>
              <w:spacing w:after="0" w:line="172" w:lineRule="exact"/>
              <w:rPr>
                <w:rFonts w:ascii="Arial" w:cs="Arial" w:eastAsia="Arial" w:hAnsi="Arial"/>
                <w:sz w:val="18"/>
                <w:szCs w:val="18"/>
                <w:color w:val="0000EE"/>
                <w:w w:val="86"/>
              </w:rPr>
            </w:pPr>
            <w:hyperlink w:anchor="page128">
              <w:r>
                <w:rPr>
                  <w:rFonts w:ascii="Arial" w:cs="Arial" w:eastAsia="Arial" w:hAnsi="Arial"/>
                  <w:sz w:val="18"/>
                  <w:szCs w:val="18"/>
                  <w:color w:val="0000EE"/>
                  <w:w w:val="86"/>
                </w:rPr>
                <w:t>Item 14.</w:t>
              </w:r>
            </w:hyperlink>
          </w:p>
        </w:tc>
        <w:tc>
          <w:tcPr>
            <w:tcW w:w="560" w:type="dxa"/>
            <w:vAlign w:val="bottom"/>
          </w:tcPr>
          <w:p>
            <w:pPr>
              <w:spacing w:after="0"/>
              <w:rPr>
                <w:sz w:val="15"/>
                <w:szCs w:val="15"/>
                <w:color w:val="auto"/>
              </w:rPr>
            </w:pPr>
          </w:p>
        </w:tc>
        <w:tc>
          <w:tcPr>
            <w:tcW w:w="5360" w:type="dxa"/>
            <w:vAlign w:val="bottom"/>
            <w:gridSpan w:val="14"/>
          </w:tcPr>
          <w:p>
            <w:pPr>
              <w:spacing w:after="0" w:line="172" w:lineRule="exact"/>
              <w:rPr>
                <w:rFonts w:ascii="Arial" w:cs="Arial" w:eastAsia="Arial" w:hAnsi="Arial"/>
                <w:sz w:val="18"/>
                <w:szCs w:val="18"/>
                <w:color w:val="0000EE"/>
              </w:rPr>
            </w:pPr>
            <w:hyperlink w:anchor="page128">
              <w:r>
                <w:rPr>
                  <w:rFonts w:ascii="Arial" w:cs="Arial" w:eastAsia="Arial" w:hAnsi="Arial"/>
                  <w:sz w:val="18"/>
                  <w:szCs w:val="18"/>
                  <w:color w:val="0000EE"/>
                </w:rPr>
                <w:t>Principal Accounting Fees and Services</w:t>
              </w:r>
            </w:hyperlink>
          </w:p>
        </w:tc>
        <w:tc>
          <w:tcPr>
            <w:tcW w:w="3760" w:type="dxa"/>
            <w:vAlign w:val="bottom"/>
            <w:gridSpan w:val="4"/>
          </w:tcPr>
          <w:p>
            <w:pPr>
              <w:spacing w:after="0"/>
              <w:rPr>
                <w:sz w:val="15"/>
                <w:szCs w:val="15"/>
                <w:color w:val="auto"/>
              </w:rPr>
            </w:pPr>
          </w:p>
        </w:tc>
        <w:tc>
          <w:tcPr>
            <w:tcW w:w="1140" w:type="dxa"/>
            <w:vAlign w:val="bottom"/>
            <w:gridSpan w:val="4"/>
          </w:tcPr>
          <w:p>
            <w:pPr>
              <w:jc w:val="right"/>
              <w:spacing w:after="0" w:line="172" w:lineRule="exact"/>
              <w:rPr>
                <w:rFonts w:ascii="Arial" w:cs="Arial" w:eastAsia="Arial" w:hAnsi="Arial"/>
                <w:sz w:val="18"/>
                <w:szCs w:val="18"/>
                <w:color w:val="0000EE"/>
              </w:rPr>
            </w:pPr>
            <w:hyperlink w:anchor="page128">
              <w:r>
                <w:rPr>
                  <w:rFonts w:ascii="Arial" w:cs="Arial" w:eastAsia="Arial" w:hAnsi="Arial"/>
                  <w:sz w:val="18"/>
                  <w:szCs w:val="18"/>
                  <w:color w:val="0000EE"/>
                </w:rPr>
                <w:t>126</w:t>
              </w:r>
            </w:hyperlink>
          </w:p>
        </w:tc>
      </w:tr>
      <w:tr>
        <w:trPr>
          <w:trHeight w:val="222"/>
        </w:trPr>
        <w:tc>
          <w:tcPr>
            <w:tcW w:w="5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right w:val="single" w:sz="8" w:color="CCEEFF"/>
            </w:tcBorders>
            <w:shd w:val="clear" w:color="auto" w:fill="CCEEFF"/>
          </w:tcPr>
          <w:p>
            <w:pPr>
              <w:spacing w:after="0"/>
              <w:rPr>
                <w:sz w:val="19"/>
                <w:szCs w:val="19"/>
                <w:color w:val="auto"/>
              </w:rPr>
            </w:pPr>
          </w:p>
        </w:tc>
        <w:tc>
          <w:tcPr>
            <w:tcW w:w="560" w:type="dxa"/>
            <w:vAlign w:val="bottom"/>
            <w:tcBorders>
              <w:left w:val="single" w:sz="8" w:color="CCEEFF"/>
            </w:tcBorders>
            <w:shd w:val="clear" w:color="auto" w:fill="CCEEFF"/>
          </w:tcPr>
          <w:p>
            <w:pPr>
              <w:spacing w:after="0"/>
              <w:rPr>
                <w:sz w:val="19"/>
                <w:szCs w:val="19"/>
                <w:color w:val="auto"/>
              </w:rPr>
            </w:pPr>
          </w:p>
        </w:tc>
        <w:tc>
          <w:tcPr>
            <w:tcW w:w="62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right w:val="single" w:sz="8" w:color="CCEEFF"/>
            </w:tcBorders>
            <w:shd w:val="clear" w:color="auto" w:fill="CCEEFF"/>
          </w:tcPr>
          <w:p>
            <w:pPr>
              <w:spacing w:after="0"/>
              <w:rPr>
                <w:sz w:val="19"/>
                <w:szCs w:val="19"/>
                <w:color w:val="auto"/>
              </w:rPr>
            </w:pPr>
          </w:p>
        </w:tc>
        <w:tc>
          <w:tcPr>
            <w:tcW w:w="140" w:type="dxa"/>
            <w:vAlign w:val="bottom"/>
            <w:tcBorders>
              <w:top w:val="single" w:sz="8" w:color="0000EE"/>
            </w:tcBorders>
            <w:shd w:val="clear" w:color="auto" w:fill="CCEEFF"/>
          </w:tcPr>
          <w:p>
            <w:pPr>
              <w:spacing w:after="0"/>
              <w:rPr>
                <w:sz w:val="19"/>
                <w:szCs w:val="19"/>
                <w:color w:val="auto"/>
              </w:rPr>
            </w:pPr>
          </w:p>
        </w:tc>
        <w:tc>
          <w:tcPr>
            <w:tcW w:w="42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0000EE"/>
              <w:right w:val="single" w:sz="8" w:color="CCEEFF"/>
            </w:tcBorders>
            <w:shd w:val="clear" w:color="auto" w:fill="CCEEFF"/>
          </w:tcPr>
          <w:p>
            <w:pPr>
              <w:spacing w:after="0"/>
              <w:rPr>
                <w:sz w:val="19"/>
                <w:szCs w:val="19"/>
                <w:color w:val="auto"/>
              </w:rPr>
            </w:pPr>
          </w:p>
        </w:tc>
        <w:tc>
          <w:tcPr>
            <w:tcW w:w="260" w:type="dxa"/>
            <w:vAlign w:val="bottom"/>
            <w:tcBorders>
              <w:top w:val="single" w:sz="8" w:color="0000EE"/>
              <w:left w:val="single" w:sz="8" w:color="CCEEFF"/>
            </w:tcBorders>
            <w:shd w:val="clear" w:color="auto" w:fill="CCEEFF"/>
          </w:tcPr>
          <w:p>
            <w:pPr>
              <w:spacing w:after="0"/>
              <w:rPr>
                <w:sz w:val="19"/>
                <w:szCs w:val="19"/>
                <w:color w:val="auto"/>
              </w:rPr>
            </w:pPr>
          </w:p>
        </w:tc>
        <w:tc>
          <w:tcPr>
            <w:tcW w:w="840" w:type="dxa"/>
            <w:vAlign w:val="bottom"/>
            <w:tcBorders>
              <w:top w:val="single" w:sz="8" w:color="0000EE"/>
              <w:right w:val="single" w:sz="8" w:color="CCEEFF"/>
            </w:tcBorders>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20" w:type="dxa"/>
            <w:vAlign w:val="bottom"/>
            <w:tcBorders>
              <w:left w:val="single" w:sz="8" w:color="CCEEFF"/>
            </w:tcBorders>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r>
      <w:tr>
        <w:trPr>
          <w:trHeight w:val="172"/>
        </w:trPr>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0000EE"/>
            </w:tcBorders>
            <w:gridSpan w:val="4"/>
          </w:tcPr>
          <w:p>
            <w:pPr>
              <w:jc w:val="center"/>
              <w:spacing w:after="0" w:line="172" w:lineRule="exact"/>
              <w:rPr>
                <w:rFonts w:ascii="Arial" w:cs="Arial" w:eastAsia="Arial" w:hAnsi="Arial"/>
                <w:sz w:val="18"/>
                <w:szCs w:val="18"/>
                <w:b w:val="1"/>
                <w:bCs w:val="1"/>
                <w:color w:val="0000EE"/>
                <w:w w:val="90"/>
              </w:rPr>
            </w:pPr>
            <w:hyperlink w:anchor="page129">
              <w:r>
                <w:rPr>
                  <w:rFonts w:ascii="Arial" w:cs="Arial" w:eastAsia="Arial" w:hAnsi="Arial"/>
                  <w:sz w:val="18"/>
                  <w:szCs w:val="18"/>
                  <w:b w:val="1"/>
                  <w:bCs w:val="1"/>
                  <w:color w:val="0000EE"/>
                  <w:w w:val="90"/>
                </w:rPr>
                <w:t>PART IV</w:t>
              </w:r>
            </w:hyperlink>
          </w:p>
        </w:tc>
        <w:tc>
          <w:tcPr>
            <w:tcW w:w="4780" w:type="dxa"/>
            <w:vAlign w:val="bottom"/>
            <w:gridSpan w:val="5"/>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2"/>
        </w:trPr>
        <w:tc>
          <w:tcPr>
            <w:tcW w:w="600" w:type="dxa"/>
            <w:vAlign w:val="bottom"/>
            <w:tcBorders>
              <w:right w:val="single" w:sz="8" w:color="CCEEFF"/>
            </w:tcBorders>
            <w:gridSpan w:val="2"/>
            <w:shd w:val="clear" w:color="auto" w:fill="CCEEFF"/>
          </w:tcPr>
          <w:p>
            <w:pPr>
              <w:spacing w:after="0" w:line="192" w:lineRule="exact"/>
              <w:rPr>
                <w:rFonts w:ascii="Arial" w:cs="Arial" w:eastAsia="Arial" w:hAnsi="Arial"/>
                <w:sz w:val="18"/>
                <w:szCs w:val="18"/>
                <w:color w:val="0000EE"/>
                <w:w w:val="86"/>
              </w:rPr>
            </w:pPr>
            <w:hyperlink w:anchor="page129">
              <w:r>
                <w:rPr>
                  <w:rFonts w:ascii="Arial" w:cs="Arial" w:eastAsia="Arial" w:hAnsi="Arial"/>
                  <w:sz w:val="18"/>
                  <w:szCs w:val="18"/>
                  <w:color w:val="0000EE"/>
                  <w:w w:val="86"/>
                </w:rPr>
                <w:t>Item 15.</w:t>
              </w:r>
            </w:hyperlink>
          </w:p>
        </w:tc>
        <w:tc>
          <w:tcPr>
            <w:tcW w:w="560" w:type="dxa"/>
            <w:vAlign w:val="bottom"/>
            <w:tcBorders>
              <w:left w:val="single" w:sz="8" w:color="CCEEFF"/>
            </w:tcBorders>
            <w:shd w:val="clear" w:color="auto" w:fill="CCEEFF"/>
          </w:tcPr>
          <w:p>
            <w:pPr>
              <w:spacing w:after="0"/>
              <w:rPr>
                <w:sz w:val="16"/>
                <w:szCs w:val="16"/>
                <w:color w:val="auto"/>
              </w:rPr>
            </w:pPr>
          </w:p>
        </w:tc>
        <w:tc>
          <w:tcPr>
            <w:tcW w:w="9120" w:type="dxa"/>
            <w:vAlign w:val="bottom"/>
            <w:gridSpan w:val="18"/>
            <w:shd w:val="clear" w:color="auto" w:fill="CCEEFF"/>
          </w:tcPr>
          <w:p>
            <w:pPr>
              <w:spacing w:after="0" w:line="192" w:lineRule="exact"/>
              <w:rPr>
                <w:rFonts w:ascii="Arial" w:cs="Arial" w:eastAsia="Arial" w:hAnsi="Arial"/>
                <w:sz w:val="18"/>
                <w:szCs w:val="18"/>
                <w:color w:val="0000EE"/>
              </w:rPr>
            </w:pPr>
            <w:hyperlink w:anchor="page129">
              <w:r>
                <w:rPr>
                  <w:rFonts w:ascii="Arial" w:cs="Arial" w:eastAsia="Arial" w:hAnsi="Arial"/>
                  <w:sz w:val="18"/>
                  <w:szCs w:val="18"/>
                  <w:color w:val="0000EE"/>
                </w:rPr>
                <w:t>Exhibits, Financial Statement Schedules</w:t>
              </w:r>
            </w:hyperlink>
          </w:p>
        </w:tc>
        <w:tc>
          <w:tcPr>
            <w:tcW w:w="1140" w:type="dxa"/>
            <w:vAlign w:val="bottom"/>
            <w:gridSpan w:val="4"/>
            <w:shd w:val="clear" w:color="auto" w:fill="CCEEFF"/>
          </w:tcPr>
          <w:p>
            <w:pPr>
              <w:jc w:val="right"/>
              <w:spacing w:after="0" w:line="192" w:lineRule="exact"/>
              <w:rPr>
                <w:rFonts w:ascii="Arial" w:cs="Arial" w:eastAsia="Arial" w:hAnsi="Arial"/>
                <w:sz w:val="18"/>
                <w:szCs w:val="18"/>
                <w:color w:val="0000EE"/>
              </w:rPr>
            </w:pPr>
            <w:hyperlink w:anchor="page129">
              <w:r>
                <w:rPr>
                  <w:rFonts w:ascii="Arial" w:cs="Arial" w:eastAsia="Arial" w:hAnsi="Arial"/>
                  <w:sz w:val="18"/>
                  <w:szCs w:val="18"/>
                  <w:color w:val="0000EE"/>
                </w:rPr>
                <w:t>127</w:t>
              </w:r>
            </w:hyperlink>
          </w:p>
        </w:tc>
      </w:tr>
      <w:tr>
        <w:trPr>
          <w:trHeight w:val="40"/>
        </w:trPr>
        <w:tc>
          <w:tcPr>
            <w:tcW w:w="5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440" w:type="dxa"/>
            <w:vAlign w:val="bottom"/>
            <w:tcBorders>
              <w:right w:val="single" w:sz="8" w:color="0000EE"/>
            </w:tcBorders>
            <w:shd w:val="clear" w:color="auto" w:fill="0000EE"/>
          </w:tcPr>
          <w:p>
            <w:pPr>
              <w:spacing w:after="0"/>
              <w:rPr>
                <w:sz w:val="3"/>
                <w:szCs w:val="3"/>
                <w:color w:val="auto"/>
              </w:rPr>
            </w:pPr>
          </w:p>
        </w:tc>
        <w:tc>
          <w:tcPr>
            <w:tcW w:w="260" w:type="dxa"/>
            <w:vAlign w:val="bottom"/>
            <w:tcBorders>
              <w:left w:val="single" w:sz="8" w:color="0000EE"/>
            </w:tcBorders>
            <w:shd w:val="clear" w:color="auto" w:fill="0000EE"/>
          </w:tcPr>
          <w:p>
            <w:pPr>
              <w:spacing w:after="0"/>
              <w:rPr>
                <w:sz w:val="3"/>
                <w:szCs w:val="3"/>
                <w:color w:val="auto"/>
              </w:rPr>
            </w:pPr>
          </w:p>
        </w:tc>
        <w:tc>
          <w:tcPr>
            <w:tcW w:w="840" w:type="dxa"/>
            <w:vAlign w:val="bottom"/>
            <w:tcBorders>
              <w:right w:val="single" w:sz="8" w:color="0000EE"/>
            </w:tcBorders>
            <w:shd w:val="clear" w:color="auto" w:fill="0000EE"/>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r>
      <w:tr>
        <w:trPr>
          <w:trHeight w:val="172"/>
        </w:trPr>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40" w:type="dxa"/>
            <w:vAlign w:val="bottom"/>
            <w:gridSpan w:val="7"/>
          </w:tcPr>
          <w:p>
            <w:pPr>
              <w:spacing w:after="0" w:line="172" w:lineRule="exact"/>
              <w:rPr>
                <w:rFonts w:ascii="Arial" w:cs="Arial" w:eastAsia="Arial" w:hAnsi="Arial"/>
                <w:sz w:val="18"/>
                <w:szCs w:val="18"/>
                <w:color w:val="0000EE"/>
              </w:rPr>
            </w:pPr>
            <w:hyperlink w:anchor="page131">
              <w:r>
                <w:rPr>
                  <w:rFonts w:ascii="Arial" w:cs="Arial" w:eastAsia="Arial" w:hAnsi="Arial"/>
                  <w:sz w:val="18"/>
                  <w:szCs w:val="18"/>
                  <w:color w:val="0000EE"/>
                </w:rPr>
                <w:t>Signatures</w:t>
              </w:r>
            </w:hyperlink>
          </w:p>
        </w:tc>
        <w:tc>
          <w:tcPr>
            <w:tcW w:w="6280" w:type="dxa"/>
            <w:vAlign w:val="bottom"/>
            <w:gridSpan w:val="11"/>
          </w:tcPr>
          <w:p>
            <w:pPr>
              <w:spacing w:after="0"/>
              <w:rPr>
                <w:sz w:val="14"/>
                <w:szCs w:val="14"/>
                <w:color w:val="auto"/>
              </w:rPr>
            </w:pPr>
          </w:p>
        </w:tc>
        <w:tc>
          <w:tcPr>
            <w:tcW w:w="1140" w:type="dxa"/>
            <w:vAlign w:val="bottom"/>
            <w:gridSpan w:val="4"/>
          </w:tcPr>
          <w:p>
            <w:pPr>
              <w:jc w:val="right"/>
              <w:spacing w:after="0" w:line="172" w:lineRule="exact"/>
              <w:rPr>
                <w:rFonts w:ascii="Arial" w:cs="Arial" w:eastAsia="Arial" w:hAnsi="Arial"/>
                <w:sz w:val="18"/>
                <w:szCs w:val="18"/>
                <w:color w:val="0000EE"/>
              </w:rPr>
            </w:pPr>
            <w:hyperlink w:anchor="page131">
              <w:r>
                <w:rPr>
                  <w:rFonts w:ascii="Arial" w:cs="Arial" w:eastAsia="Arial" w:hAnsi="Arial"/>
                  <w:sz w:val="18"/>
                  <w:szCs w:val="18"/>
                  <w:color w:val="0000EE"/>
                </w:rPr>
                <w:t>129</w:t>
              </w:r>
            </w:hyperlink>
          </w:p>
        </w:tc>
      </w:tr>
      <w:tr>
        <w:trPr>
          <w:trHeight w:val="656"/>
        </w:trPr>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gridSpan w:val="2"/>
          </w:tcPr>
          <w:p>
            <w:pPr>
              <w:spacing w:after="0"/>
              <w:rPr>
                <w:sz w:val="24"/>
                <w:szCs w:val="24"/>
                <w:color w:val="auto"/>
              </w:rPr>
            </w:pPr>
          </w:p>
        </w:tc>
        <w:tc>
          <w:tcPr>
            <w:tcW w:w="4620" w:type="dxa"/>
            <w:vAlign w:val="bottom"/>
            <w:tcBorders>
              <w:bottom w:val="single" w:sz="8" w:color="auto"/>
            </w:tcBorders>
            <w:gridSpan w:val="12"/>
          </w:tcPr>
          <w:p>
            <w:pPr>
              <w:jc w:val="center"/>
              <w:ind w:left="2932"/>
              <w:spacing w:after="0"/>
              <w:rPr>
                <w:sz w:val="20"/>
                <w:szCs w:val="20"/>
                <w:color w:val="auto"/>
              </w:rPr>
            </w:pPr>
            <w:r>
              <w:rPr>
                <w:rFonts w:ascii="Arial" w:cs="Arial" w:eastAsia="Arial" w:hAnsi="Arial"/>
                <w:sz w:val="18"/>
                <w:szCs w:val="18"/>
                <w:color w:val="auto"/>
                <w:w w:val="79"/>
              </w:rPr>
              <w:t>2</w:t>
            </w:r>
          </w:p>
        </w:tc>
        <w:tc>
          <w:tcPr>
            <w:tcW w:w="9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420"/>
          </w:cols>
          <w:pgMar w:left="240" w:top="89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this annual report on Form 10-K, except where the context suggests otherwise, the terms:</w:t>
      </w:r>
    </w:p>
    <w:p>
      <w:pPr>
        <w:spacing w:after="0" w:line="217" w:lineRule="exact"/>
        <w:rPr>
          <w:sz w:val="20"/>
          <w:szCs w:val="20"/>
          <w:color w:val="auto"/>
        </w:rPr>
      </w:pPr>
    </w:p>
    <w:p>
      <w:pPr>
        <w:ind w:left="1280" w:hanging="638"/>
        <w:spacing w:after="0" w:line="265"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“the Company” and “Horizon Technology Finance” refer to Horizon Technology Finance Corporation, a Delaware corporation, and its consolidated subsidiaries;</w:t>
      </w:r>
    </w:p>
    <w:p>
      <w:pPr>
        <w:spacing w:after="0" w:line="179" w:lineRule="exact"/>
        <w:rPr>
          <w:rFonts w:ascii="Arial" w:cs="Arial" w:eastAsia="Arial" w:hAnsi="Arial"/>
          <w:sz w:val="18"/>
          <w:szCs w:val="18"/>
          <w:color w:val="auto"/>
        </w:rPr>
      </w:pPr>
    </w:p>
    <w:p>
      <w:pPr>
        <w:ind w:left="1280" w:hanging="638"/>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“Advisor” and the “Administrator” refer to Horizon Technology Finance Management LLC, a Delaware limited liability company;</w:t>
      </w:r>
    </w:p>
    <w:p>
      <w:pPr>
        <w:spacing w:after="0" w:line="228" w:lineRule="exact"/>
        <w:rPr>
          <w:rFonts w:ascii="Arial" w:cs="Arial" w:eastAsia="Arial" w:hAnsi="Arial"/>
          <w:sz w:val="17"/>
          <w:szCs w:val="17"/>
          <w:color w:val="auto"/>
        </w:rPr>
      </w:pPr>
    </w:p>
    <w:p>
      <w:pPr>
        <w:ind w:left="1280" w:hanging="638"/>
        <w:spacing w:after="0" w:line="265"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“Credit II” refers to Horizon Credit II LLC, a Delaware limited liability company, which is a special purpose bankruptcy remote entity and our direct subsidiary;</w:t>
      </w:r>
    </w:p>
    <w:p>
      <w:pPr>
        <w:spacing w:after="0" w:line="179" w:lineRule="exact"/>
        <w:rPr>
          <w:rFonts w:ascii="Arial" w:cs="Arial" w:eastAsia="Arial" w:hAnsi="Arial"/>
          <w:sz w:val="18"/>
          <w:szCs w:val="18"/>
          <w:color w:val="auto"/>
        </w:rPr>
      </w:pPr>
    </w:p>
    <w:p>
      <w:pPr>
        <w:ind w:left="1280" w:hanging="638"/>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“Key” refers to KeyBank National Association and “Key Facility” refers to the revolving credit facility with Key;</w:t>
      </w:r>
    </w:p>
    <w:p>
      <w:pPr>
        <w:spacing w:after="0" w:line="217" w:lineRule="exact"/>
        <w:rPr>
          <w:rFonts w:ascii="Arial" w:cs="Arial" w:eastAsia="Arial" w:hAnsi="Arial"/>
          <w:sz w:val="18"/>
          <w:szCs w:val="18"/>
          <w:color w:val="auto"/>
        </w:rPr>
      </w:pPr>
    </w:p>
    <w:p>
      <w:pPr>
        <w:ind w:left="1280" w:hanging="638"/>
        <w:spacing w:after="0" w:line="265"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“2022 Notes” or “Debt Securities” refers to the $37.4 million aggregate principal amount of our 6.25% unsecured notes due 2022, which were issued in September and October 2017;</w:t>
      </w:r>
    </w:p>
    <w:p>
      <w:pPr>
        <w:spacing w:after="0" w:line="179" w:lineRule="exact"/>
        <w:rPr>
          <w:rFonts w:ascii="Arial" w:cs="Arial" w:eastAsia="Arial" w:hAnsi="Arial"/>
          <w:sz w:val="18"/>
          <w:szCs w:val="18"/>
          <w:color w:val="auto"/>
        </w:rPr>
      </w:pPr>
    </w:p>
    <w:p>
      <w:pPr>
        <w:ind w:left="1280" w:hanging="638"/>
        <w:spacing w:after="0" w:line="265"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“2019 Notes” refers to the $33.0 million aggregate principal amount of our 7.375% senior unsecured notes due 2019, which were redeemed in full in October 2017; and</w:t>
      </w:r>
    </w:p>
    <w:p>
      <w:pPr>
        <w:spacing w:after="0" w:line="179" w:lineRule="exact"/>
        <w:rPr>
          <w:rFonts w:ascii="Arial" w:cs="Arial" w:eastAsia="Arial" w:hAnsi="Arial"/>
          <w:sz w:val="18"/>
          <w:szCs w:val="18"/>
          <w:color w:val="auto"/>
        </w:rPr>
      </w:pPr>
    </w:p>
    <w:p>
      <w:pPr>
        <w:ind w:left="1280" w:hanging="638"/>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“HSLFI” refers to Horizon Secured Loan Fund I, a joint venture formed with Arena Sunset SPV, LLC, or Arena.</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Some of the statements in this annual report on Form 10-K constitute forward-looking statements which apply to both us and our consolidated subsidiaries and relate to future events, future performance or financial condition. The forward-looking statements involve risks and uncertainties for both us and our consolidated subsidiaries and actual results could differ materially from those projected in the forward-looking statements for any reason, including those factors described in “Item 1A.—Risk Factors” and elsewhere in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are a specialty finance company that lends to and invests in development-stage companies in the technology, life science, healthcare information and services and cleantech industries, which we refer to collectively as our “Target Industries.” Our investment objective is to maximize our investment portfolio’s total return by generating current income from the debt investments we make and capital appreciation from the warrants we receive when making such debt investments. We are focused on making secured debt investments, which we refer to as “Venture Loans,” to venture capital backed companies in our Target Industries, which we refer to as “Venture Lending.” We also selectively provide Venture Loans to publicly traded companies in our Target Industries. Our debt investments are typically secured by first liens or first liens behind a secured revolving line of credit, or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relatively rapid amortization of the Venture Loan and (4) the lender’s receipt of warrants or other success fees with the making of the Venture Loan.</w:t>
      </w:r>
    </w:p>
    <w:p>
      <w:pPr>
        <w:spacing w:after="0" w:line="37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are an externally managed, closed-end, non-diversified management investment company that has elected to be regulated as a business development company, or BDC, under the Investment Company Act of 1940, as amended, or the 1940 Act. In addition, for U.S. federal income tax purposes, we have elected to be treated as a regulated investment company, or RIC, under Subchapter M of the Internal Revenue Code of 1986, as amended, or the Code. As a BDC, we are required to comply with regulatory requirements, including limitations on our use of debt. We are permitted to, and expect to, finance a portion of our investments through borrowings. On March 23, 2018, the Small Business Credit Availability Act, or SBCAA, amended Section 61(a) of the 1940 Act to add Section 61(a)(2) which enables BDCs to reduce their asset coverage requirements from 200% to 150%. This provision permits a BDC to double the maximum amount of leverage that it is permitted to incur, so long as the BDC meets certain disclosure requirements and obtains certain approvals. As defined in the 1940 Act, asset coverage of 150% means that for every $100 of net assets a BDC holds, it may raise up to $200 from borrowing and issuing senior securities. We received approval from our stockholders to reduce our asset coverage requirement from 200% to 150% on October 30, 2018. The amount of leverage that we may employ will depend on our assessment of market conditions and other factors at the time of any proposed borrowing. As a RIC, we generally do not have to pay corporate-level federal income taxes on our investment company taxable income and our net capital gain that we distribute to our stockholders as long as we meet certain source-of-income, distribution, asset diversification and other requirements.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4" w:name="page5"/>
    <w:bookmarkEnd w:id="4"/>
    <w:p>
      <w:pPr>
        <w:jc w:val="both"/>
        <w:ind w:firstLine="318"/>
        <w:spacing w:after="0" w:line="265" w:lineRule="auto"/>
        <w:rPr>
          <w:sz w:val="20"/>
          <w:szCs w:val="20"/>
          <w:color w:val="auto"/>
        </w:rPr>
      </w:pPr>
      <w:r>
        <w:rPr>
          <w:rFonts w:ascii="Arial" w:cs="Arial" w:eastAsia="Arial" w:hAnsi="Arial"/>
          <w:sz w:val="18"/>
          <w:szCs w:val="18"/>
          <w:color w:val="auto"/>
        </w:rPr>
        <w:t>Compass Horizon Funding Company LLC, or Compass Horizon, our predecessor company, commenced operations in March 2008. We were formed in March 2010 for the purpose of acquiring Compass Horizon and continuing its business as a public entity.</w:t>
      </w:r>
    </w:p>
    <w:p>
      <w:pPr>
        <w:spacing w:after="0" w:line="179"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From the commencement of operations of Compass Horizon on March 4, 2008 through December 31, 2018, we funded 168 portfolio companies and invested $1.1 billion in debt investments. As of December 31, 2018, our debt investment portfolio consisted of 34 debt investments with an aggregate fair value of $216.4 million. As of December 31, 2018, 98.5%, or $213.2 million, of our debt investment portfolio at fair value consisted of Senior Term Loans. As of December 31, 2018, our net assets were $134.3 million, and all of our debt investments were secured by all or a portion of the tangible and intangible assets of the applicable portfolio company. The debt investments in our portfolio are generally not rated by any rating agency. If the individual debt investments in our portfolio were rated, they would be rated below “investment grade”. Debt investments that are unrated or rated below investment grade are sometimes referred to as “junk bonds” and have predominantly speculative characteristics with respect to the issuer’s capacity to pay interest and repay principal.</w:t>
      </w:r>
    </w:p>
    <w:p>
      <w:pPr>
        <w:spacing w:after="0" w:line="15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For the year ended December 31, 2018, our dollar-weighted annualized yield on average debt investments (excluding any yield from warrants, equity, other investments and HSLFI) was 15.3%. We calculate the dollar-weighted yield on average debt investments for any period as (1) total investment income (excluding income from HSLFI) during the period divided by (2) the average of the fair value of debt investments outstanding on (a) the last day of the calendar month immediately preceding the first day of the period and (b) the last day of each calendar month during the period. The dollar-weighted annualized yield on average debt investments is higher than what investors will realize because it does not reflect our expenses or any sales load paid by investors.</w:t>
      </w:r>
    </w:p>
    <w:p>
      <w:pPr>
        <w:spacing w:after="0" w:line="15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For the year ended December 31, 2018, our investment portfolio (including any yield from warrants, equity, other investments and HSLFI) had an overall total yield of 13.9%. We calculate the dollar-weighted yield on average investments for any period as (1) total investment income during the period divided by</w:t>
      </w:r>
    </w:p>
    <w:p>
      <w:pPr>
        <w:jc w:val="both"/>
        <w:ind w:firstLine="6"/>
        <w:spacing w:after="0" w:line="248" w:lineRule="auto"/>
        <w:tabs>
          <w:tab w:leader="none" w:pos="25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average of the fair value of investments outstanding on (a) the last day of the calendar month immediately preceding the first day of the period and (b) the last day of each calendar month during the period. The dollar-weighted annualized yield on average investments is higher than what investors will realize because it does not reflect our expenses or any sales load paid by investors.</w:t>
      </w:r>
    </w:p>
    <w:p>
      <w:pPr>
        <w:spacing w:after="0" w:line="19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As of December 31, 2018, our debt investments had a dollar-weighted average term of 46 months from inception and a dollar-weighted average remaining term of 36 months. As of December 31, 2018, substantially all of our debt investments had an original committed principal amount of between $3 million and $20 million, repayment terms of between 10 and 60 months and bore current pay interest at annual interest rates of between 10% and 15%.</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the year ended December 31, 2018, our total return based on market value was 11.0%. Total return based on market value is calculated as (x) the sum of</w:t>
      </w:r>
    </w:p>
    <w:p>
      <w:pPr>
        <w:spacing w:after="0" w:line="51" w:lineRule="exact"/>
        <w:rPr>
          <w:sz w:val="20"/>
          <w:szCs w:val="20"/>
          <w:color w:val="auto"/>
        </w:rPr>
      </w:pPr>
    </w:p>
    <w:p>
      <w:pPr>
        <w:ind w:left="220" w:hanging="214"/>
        <w:spacing w:after="0"/>
        <w:tabs>
          <w:tab w:leader="none" w:pos="2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closing sales price of our common stock on the last day of the period plus (ii) the aggregate amount of distributions paid per share during the period, less</w:t>
      </w:r>
    </w:p>
    <w:p>
      <w:pPr>
        <w:spacing w:after="0" w:line="39" w:lineRule="exact"/>
        <w:rPr>
          <w:rFonts w:ascii="Arial" w:cs="Arial" w:eastAsia="Arial" w:hAnsi="Arial"/>
          <w:sz w:val="15"/>
          <w:szCs w:val="15"/>
          <w:color w:val="auto"/>
        </w:rPr>
      </w:pPr>
    </w:p>
    <w:p>
      <w:pPr>
        <w:ind w:firstLine="6"/>
        <w:spacing w:after="0" w:line="251" w:lineRule="auto"/>
        <w:tabs>
          <w:tab w:leader="none" w:pos="31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closing sales price of our common stock on the first day of the period, divided by (y) the closing sales price of our common stock on the first day of the period.</w:t>
      </w:r>
    </w:p>
    <w:p>
      <w:pPr>
        <w:spacing w:after="0" w:line="19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In addition to our debt investments, as of December 31, 2018, we held warrants to purchase stock, predominantly preferred stock, in 67 portfolio companies, equity positions in nine portfolio companies and success fee arrangements in nine portfolio companies.</w:t>
      </w:r>
    </w:p>
    <w:p>
      <w:pPr>
        <w:spacing w:after="0" w:line="179"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On June, 1 2018, we and Arena formed a joint venture, HSLFI, to make investments, either directly or indirectly through subsidiaries, primarily in the form of secured loans to development-stage companies in the technology, life science, healthcare information and services and cleantech industries. HSLFI was formed as a Delaware limited liability company and is not consolidated by either us or Arena for financial reporting purposes. Investments held by HSLFI are measured at fair value. As of December 31, 2018, HSLFI had total assets of $26.4 million. HSLFI’s portfolio consisted of debt investments in four portfolio companies as of December 31, 2018. As of December 31, 2018, the largest investment in a single portfolio company in the HSLFI’s portfolio in aggregate principal amount was $8.3 million and the four largest investments in portfolio companies in HSLFI’s portfolio totaled $25.0 million. As of December 31, 2018, HSLFI had no investments on non-accrual status. HSLFI invests in portfolio companies in the same industries in which we may directly invest.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5" w:name="page6"/>
    <w:bookmarkEnd w:id="5"/>
    <w:p>
      <w:pPr>
        <w:jc w:val="both"/>
        <w:ind w:firstLine="318"/>
        <w:spacing w:after="0" w:line="330" w:lineRule="auto"/>
        <w:rPr>
          <w:sz w:val="20"/>
          <w:szCs w:val="20"/>
          <w:color w:val="auto"/>
        </w:rPr>
      </w:pPr>
      <w:r>
        <w:rPr>
          <w:rFonts w:ascii="Arial" w:cs="Arial" w:eastAsia="Arial" w:hAnsi="Arial"/>
          <w:sz w:val="15"/>
          <w:szCs w:val="15"/>
          <w:color w:val="auto"/>
        </w:rPr>
        <w:t>We invest cash or securities in portfolio companies in HSLFI in exchange for limited liability company equity interests in HSLFI. As of December 31, 2018, we and Arena each owned 50.0% of the equity interests of HSLFI. We had an original commitment to fund $25.0 million of equity interests in HSLFI. As of December 31, 2018, $11.7 million was unfunded. Our investment in HSLFI consisted of an equity contribution of $13.3 million as of December 31, 2018.</w:t>
      </w:r>
    </w:p>
    <w:p>
      <w:pPr>
        <w:spacing w:after="0" w:line="137"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Our investment activities, and our day-to-day operations, are managed by our Advisor and supervised by our board of directors, or the Board, of which a majority of the members are independent of us. Under an amended and restated investment management agreement, or the Investment Management Agreement, we have agreed to pay our Advisor a base management fee and an incentive fee for its advisory services to us. We have also entered into an administration agreement, or the Administration Agreement, with our Advisor under which we have agreed to reimburse our Advisor for our allocable portion of overhead and other expenses incurred by our Advisor in performing its obligations under the Administration Agreement.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common stock began trading October 29, 2010 and is currently traded on the Nasdaq Global Select Market, or Nasdaq, under the symbol “HRZN”.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w:t>
      </w:r>
    </w:p>
    <w:p>
      <w:pPr>
        <w:spacing w:after="0" w:line="22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Our principal executive office is located at 312 Farmington Avenue, Farmington, Connecticut 06032, our telephone number is (860) 676-8654, and our internet address is </w:t>
      </w:r>
      <w:r>
        <w:rPr>
          <w:rFonts w:ascii="Arial" w:cs="Arial" w:eastAsia="Arial" w:hAnsi="Arial"/>
          <w:sz w:val="18"/>
          <w:szCs w:val="18"/>
          <w:i w:val="1"/>
          <w:iCs w:val="1"/>
          <w:color w:val="auto"/>
        </w:rPr>
        <w:t>www.horizontechfinance.com</w:t>
      </w:r>
      <w:r>
        <w:rPr>
          <w:rFonts w:ascii="Arial" w:cs="Arial" w:eastAsia="Arial" w:hAnsi="Arial"/>
          <w:sz w:val="18"/>
          <w:szCs w:val="18"/>
          <w:color w:val="auto"/>
        </w:rPr>
        <w:t>. We make available, free of charge, on our website our annual report on Form 10-K, quarterly reports on Form 10-Q, current reports on Form 8-K and amendments to those reports as soon as reasonably practicable after we electronically file such material with, or furnish it to, the U.S. Securities and Exchange Commission, or the SEC. Information contained on our website is not incorporated by reference into this annual report on Form 10-K and you should not consider information contained on our website to be part of this annual report on Form 10-K or any other report we file with the SEC.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advisor</w:t>
      </w:r>
    </w:p>
    <w:p>
      <w:pPr>
        <w:spacing w:after="0" w:line="22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investment activities are managed by our Advisor, and we expect to continue to benefit from our Advisor’s ability to identify attractive investment opportunities, conduct diligence on and value prospective investments, negotiate investments and manage our portfolio of investments. In addition to the experience gained from the years that they have worked together both at our Advisor and prior to the formation of our Advisor, the members of our investment team have broad lending backgrounds, with substantial experience at a variety of commercial finance companies, technology banks and private debt funds, and have developed a broad network of contacts within the venture capital and private equity community. This network of contacts provides a principal source of investment opportunities.</w:t>
      </w:r>
    </w:p>
    <w:p>
      <w:pPr>
        <w:spacing w:after="0" w:line="1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Advisor is led by five senior managers including Robert D. Pomeroy, Jr., our Chief Executive Officer, Gerald A. Michaud, our President, Daniel R. Trolio, our Senior Vice President and Chief Financial Officer, John C. Bombara, our Senior Vice President, General Counsel and Chief Compliance Officer, and Daniel S. Devorsetz, our Senior Vice President and Chief Investment Officer.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investment objective is to maximize our investment portfolio’s total return by generating current income from the loans we make and capital appreciation from the warrants we receive when making such loans. To further implement our business strategy, we expect our Advisor to continue to employ the following core strategies:</w:t>
      </w:r>
    </w:p>
    <w:p>
      <w:pPr>
        <w:spacing w:after="0" w:line="189" w:lineRule="exact"/>
        <w:rPr>
          <w:sz w:val="20"/>
          <w:szCs w:val="20"/>
          <w:color w:val="auto"/>
        </w:rPr>
      </w:pPr>
    </w:p>
    <w:p>
      <w:pPr>
        <w:jc w:val="both"/>
        <w:ind w:left="640" w:hanging="316"/>
        <w:spacing w:after="0" w:line="264"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Structured investments in the venture capital and private and public equity markets. </w:t>
      </w:r>
      <w:r>
        <w:rPr>
          <w:rFonts w:ascii="Arial" w:cs="Arial" w:eastAsia="Arial" w:hAnsi="Arial"/>
          <w:sz w:val="17"/>
          <w:szCs w:val="17"/>
          <w:color w:val="auto"/>
        </w:rPr>
        <w:t>We make loans to development-stage companies within our Target</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Industries typically in the form of secured loans. The secured debt structure provides a lower risk strategy, as compared to equity or unsecured debt investments, to participate in the emerging technology markets because the debt structures we typically utilize provide collateral against the downside risk of loss, provide return of capital in a much shorter timeframe through current-pay interest and amortization of principal and have a senior position to equity and unsecured debt in the borrower’s capital structure in the case of insolvency, wind down or bankruptcy. Unlike venture capital and private equity investments, our investment returns and return of our capital do not require equity investment exits such as mergers and acquisitions or initial public offerings. Instead, we receive returns on our debt investments primarily through regularly scheduled payments of principal and interest and, if necessary, liquidation of the collateral supporting the debt investment upon a default. Only the potential gains from warrants depend upon equity investment exits.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6" w:name="page7"/>
    <w:bookmarkEnd w:id="6"/>
    <w:p>
      <w:pPr>
        <w:jc w:val="both"/>
        <w:ind w:left="640" w:hanging="316"/>
        <w:spacing w:after="0" w:line="277"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“Enterprise value” lending. </w:t>
      </w:r>
      <w:r>
        <w:rPr>
          <w:rFonts w:ascii="Arial" w:cs="Arial" w:eastAsia="Arial" w:hAnsi="Arial"/>
          <w:sz w:val="17"/>
          <w:szCs w:val="17"/>
          <w:color w:val="auto"/>
        </w:rPr>
        <w:t>We and our Advisor take an enterprise value approach to structuring and underwriting loans. Enterprise value includes the</w:t>
      </w:r>
      <w:r>
        <w:rPr>
          <w:rFonts w:ascii="Arial" w:cs="Arial" w:eastAsia="Arial" w:hAnsi="Arial"/>
          <w:sz w:val="17"/>
          <w:szCs w:val="17"/>
          <w:i w:val="1"/>
          <w:iCs w:val="1"/>
          <w:color w:val="auto"/>
        </w:rPr>
        <w:t xml:space="preserve"> </w:t>
      </w:r>
      <w:r>
        <w:rPr>
          <w:rFonts w:ascii="Arial" w:cs="Arial" w:eastAsia="Arial" w:hAnsi="Arial"/>
          <w:sz w:val="17"/>
          <w:szCs w:val="17"/>
          <w:color w:val="auto"/>
        </w:rPr>
        <w:t>implied valuation based upon recent equity capital invested as well as the intrinsic value of the applicable portfolio company’s particular technology, service or customer base. We secure our lien position against the enterprise value of each portfolio company.</w:t>
      </w:r>
    </w:p>
    <w:p>
      <w:pPr>
        <w:spacing w:after="0" w:line="171" w:lineRule="exact"/>
        <w:rPr>
          <w:rFonts w:ascii="Arial" w:cs="Arial" w:eastAsia="Arial" w:hAnsi="Arial"/>
          <w:sz w:val="17"/>
          <w:szCs w:val="17"/>
          <w:color w:val="auto"/>
        </w:rPr>
      </w:pPr>
    </w:p>
    <w:p>
      <w:pPr>
        <w:jc w:val="both"/>
        <w:ind w:left="640" w:hanging="316"/>
        <w:spacing w:after="0" w:line="267"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Creative products with attractive risk-adjusted pricing. </w:t>
      </w:r>
      <w:r>
        <w:rPr>
          <w:rFonts w:ascii="Arial" w:cs="Arial" w:eastAsia="Arial" w:hAnsi="Arial"/>
          <w:sz w:val="17"/>
          <w:szCs w:val="17"/>
          <w:color w:val="auto"/>
        </w:rPr>
        <w:t>Each of our existing and prospective portfolio companies has its own unique funding needs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capital provided from the proceeds of our Venture Loans. These funding needs include funds for additional development “runways”, funds to hire or retain sales staff or funds to invest in research and development in order to reach important technical milestones in advance of raising additional equity. Our loans include current-pay interest, commitment fees, end-of-term payments, or ETPs, pre-payment fees, success fees and non-utilization fees. We believe we have developed pricing tools, structuring techniques and valuation metrics that satisfy our portfolio companies’ financing requirements while mitigating risk and maximizing returns on our investments.</w:t>
      </w:r>
    </w:p>
    <w:p>
      <w:pPr>
        <w:spacing w:after="0" w:line="180" w:lineRule="exact"/>
        <w:rPr>
          <w:rFonts w:ascii="Arial" w:cs="Arial" w:eastAsia="Arial" w:hAnsi="Arial"/>
          <w:sz w:val="17"/>
          <w:szCs w:val="17"/>
          <w:color w:val="auto"/>
        </w:rPr>
      </w:pPr>
    </w:p>
    <w:p>
      <w:pPr>
        <w:jc w:val="both"/>
        <w:ind w:left="640" w:hanging="316"/>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Opportunity for enhanced returns. </w:t>
      </w:r>
      <w:r>
        <w:rPr>
          <w:rFonts w:ascii="Arial" w:cs="Arial" w:eastAsia="Arial" w:hAnsi="Arial"/>
          <w:sz w:val="18"/>
          <w:szCs w:val="18"/>
          <w:color w:val="auto"/>
        </w:rPr>
        <w:t>To enhance our debt investment portfolio returns, in addition to interest and fees, we frequently obtain warrants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the equity of our portfolio companies as additional consideration for making debt investments. The warrants we obtain generally include a “cashless exercise” provision to allow us to exercise these rights without requiring us to make any additional cash investment. Obtaining warrants in our portfolio companies has allowed us to participate in the equity appreciation of our portfolio companies, which we expect will enable us to generate higher returns for our investors.</w:t>
      </w:r>
    </w:p>
    <w:p>
      <w:pPr>
        <w:spacing w:after="0" w:line="194" w:lineRule="exact"/>
        <w:rPr>
          <w:rFonts w:ascii="Arial" w:cs="Arial" w:eastAsia="Arial" w:hAnsi="Arial"/>
          <w:sz w:val="18"/>
          <w:szCs w:val="18"/>
          <w:color w:val="auto"/>
        </w:rPr>
      </w:pPr>
    </w:p>
    <w:p>
      <w:pPr>
        <w:jc w:val="both"/>
        <w:ind w:left="640" w:hanging="316"/>
        <w:spacing w:after="0" w:line="318" w:lineRule="auto"/>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Direct origination. </w:t>
      </w:r>
      <w:r>
        <w:rPr>
          <w:rFonts w:ascii="Arial" w:cs="Arial" w:eastAsia="Arial" w:hAnsi="Arial"/>
          <w:sz w:val="15"/>
          <w:szCs w:val="15"/>
          <w:color w:val="auto"/>
        </w:rPr>
        <w:t>We originate transactions directly with technology, life science, healthcare information and services and cleantech companies. These</w:t>
      </w:r>
      <w:r>
        <w:rPr>
          <w:rFonts w:ascii="Arial" w:cs="Arial" w:eastAsia="Arial" w:hAnsi="Arial"/>
          <w:sz w:val="15"/>
          <w:szCs w:val="15"/>
          <w:i w:val="1"/>
          <w:iCs w:val="1"/>
          <w:color w:val="auto"/>
        </w:rPr>
        <w:t xml:space="preserve"> </w:t>
      </w:r>
      <w:r>
        <w:rPr>
          <w:rFonts w:ascii="Arial" w:cs="Arial" w:eastAsia="Arial" w:hAnsi="Arial"/>
          <w:sz w:val="15"/>
          <w:szCs w:val="15"/>
          <w:color w:val="auto"/>
        </w:rPr>
        <w:t>transactions are referred to our Advisor from a number of sources, including referrals from, or direct solicitation of, venture capital and private equity firms, portfolio company management teams, legal firms, accounting firms, investment banks and other lenders that represent companies within our Target Industries. Our Advisor has been the sole or lead originator in substantially all transactions in which the funds it manages have invested.</w:t>
      </w:r>
    </w:p>
    <w:p>
      <w:pPr>
        <w:spacing w:after="0" w:line="146" w:lineRule="exact"/>
        <w:rPr>
          <w:rFonts w:ascii="Arial" w:cs="Arial" w:eastAsia="Arial" w:hAnsi="Arial"/>
          <w:sz w:val="15"/>
          <w:szCs w:val="15"/>
          <w:color w:val="auto"/>
        </w:rPr>
      </w:pPr>
    </w:p>
    <w:p>
      <w:pPr>
        <w:jc w:val="both"/>
        <w:ind w:left="640" w:hanging="316"/>
        <w:spacing w:after="0" w:line="305" w:lineRule="auto"/>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Disciplined and balanced underwriting and portfolio management. </w:t>
      </w:r>
      <w:r>
        <w:rPr>
          <w:rFonts w:ascii="Arial" w:cs="Arial" w:eastAsia="Arial" w:hAnsi="Arial"/>
          <w:sz w:val="15"/>
          <w:szCs w:val="15"/>
          <w:color w:val="auto"/>
        </w:rPr>
        <w:t>We use a disciplined underwriting process that includes obtaining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validation from multiple sources, extensive knowledge of our Target Industries, comparable industry valuation metrics and sophisticated financial analysis related to development-stage companies. Our Advisor’s due diligence on investment prospects includes obtaining and evaluating information on the prospective portfolio company’s technology, market opportunity, management team, fund raising history, investor support, valuation considerations, financial condition and projections. We seek to balance our investment portfolio to reduce the risk of down market cycles associated with any particular industry or sector, development-stage or geographic area by quarterly reviewing each criteria and, in the event there is an overconcentration, seeking investment opportunities to reduce such overconcentration. Our Advisor employs a “hands on” approach to portfolio management, requiring private portfolio companies to provide monthly financial information and to participate in regular updates on performance and future plans. For public companies, our Advisor typically relies on publicly reported quarterly financials.</w:t>
      </w:r>
    </w:p>
    <w:p>
      <w:pPr>
        <w:spacing w:after="0" w:line="367" w:lineRule="exact"/>
        <w:rPr>
          <w:rFonts w:ascii="Arial" w:cs="Arial" w:eastAsia="Arial" w:hAnsi="Arial"/>
          <w:sz w:val="15"/>
          <w:szCs w:val="15"/>
          <w:color w:val="auto"/>
        </w:rPr>
      </w:pPr>
    </w:p>
    <w:p>
      <w:pPr>
        <w:jc w:val="both"/>
        <w:ind w:left="640" w:hanging="316"/>
        <w:spacing w:after="0" w:line="277"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Use of leverage. </w:t>
      </w:r>
      <w:r>
        <w:rPr>
          <w:rFonts w:ascii="Arial" w:cs="Arial" w:eastAsia="Arial" w:hAnsi="Arial"/>
          <w:sz w:val="17"/>
          <w:szCs w:val="17"/>
          <w:color w:val="auto"/>
        </w:rPr>
        <w:t>We use leverage to increase returns on equity through our Key Facility and our 2022 Notes. See “Item 7 — Management’s Discussion</w:t>
      </w:r>
      <w:r>
        <w:rPr>
          <w:rFonts w:ascii="Arial" w:cs="Arial" w:eastAsia="Arial" w:hAnsi="Arial"/>
          <w:sz w:val="17"/>
          <w:szCs w:val="17"/>
          <w:i w:val="1"/>
          <w:iCs w:val="1"/>
          <w:color w:val="auto"/>
        </w:rPr>
        <w:t xml:space="preserve"> </w:t>
      </w:r>
      <w:r>
        <w:rPr>
          <w:rFonts w:ascii="Arial" w:cs="Arial" w:eastAsia="Arial" w:hAnsi="Arial"/>
          <w:sz w:val="17"/>
          <w:szCs w:val="17"/>
          <w:color w:val="auto"/>
        </w:rPr>
        <w:t>and Analysis of Financial Condition and Results of Operations — Liquidity and capital resources” for additional information about our use of leverage. In addition, we may issue additional debt securities or preferred stock in one or more series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focus our investments primarily in our Target Industries. The technology sectors we focus on include communications, networking, data storage, software, cloud computing, semiconductor, internet and media and consumer-related technologies. The life science sectors we focus on include biotechnology, drug discovery, drug delivery, bioinformatics and medical devices. The healthcare information and services sectors we focus on include diagnostics, electronic medical record services and software and other healthcare related services and technologies that improve efficiency and quality of administered healthcare. The cleantech sectors we focus on include alternative energy, power management, energy efficiency, green building materials and waste recycling. We refer to all of these companies as “technology-related” companies because the companies are developing or offering goods and services to businesses and consumers which utilize scientific knowledge, including techniques, skills, methods, devices and processes, to solve problems. We intend, under normal market conditions, to invest at least 80% of the value of our total assets in such companies.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7" w:name="page8"/>
    <w:bookmarkEnd w:id="7"/>
    <w:p>
      <w:pPr>
        <w:ind w:firstLine="318"/>
        <w:spacing w:after="0" w:line="265" w:lineRule="auto"/>
        <w:rPr>
          <w:sz w:val="20"/>
          <w:szCs w:val="20"/>
          <w:color w:val="auto"/>
        </w:rPr>
      </w:pPr>
      <w:r>
        <w:rPr>
          <w:rFonts w:ascii="Arial" w:cs="Arial" w:eastAsia="Arial" w:hAnsi="Arial"/>
          <w:sz w:val="18"/>
          <w:szCs w:val="18"/>
          <w:color w:val="auto"/>
        </w:rPr>
        <w:t>We believe that Venture Lending has the potential to achieve enhanced returns that are attractive notwithstanding the high degree of risk associated with lending to development-stage companies. Potential benefits include:</w:t>
      </w:r>
    </w:p>
    <w:p>
      <w:pPr>
        <w:spacing w:after="0" w:line="179" w:lineRule="exact"/>
        <w:rPr>
          <w:sz w:val="20"/>
          <w:szCs w:val="20"/>
          <w:color w:val="auto"/>
        </w:rPr>
      </w:pPr>
    </w:p>
    <w:p>
      <w:pPr>
        <w:ind w:left="640" w:hanging="316"/>
        <w:spacing w:after="0" w:line="26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rates that typically exceed rates that would be available to portfolio companies if they could borrow in traditional commercial financing transactions;</w:t>
      </w:r>
    </w:p>
    <w:p>
      <w:pPr>
        <w:spacing w:after="0" w:line="179" w:lineRule="exact"/>
        <w:rPr>
          <w:rFonts w:ascii="Arial" w:cs="Arial" w:eastAsia="Arial" w:hAnsi="Arial"/>
          <w:sz w:val="18"/>
          <w:szCs w:val="18"/>
          <w:color w:val="auto"/>
        </w:rPr>
      </w:pPr>
    </w:p>
    <w:p>
      <w:pPr>
        <w:ind w:left="640" w:hanging="316"/>
        <w:spacing w:after="0" w:line="26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debt investment support provided by cash proceeds from equity capital invested by venture capital and private equity firms or access to public equity markets to access capital;</w:t>
      </w:r>
    </w:p>
    <w:p>
      <w:pPr>
        <w:spacing w:after="0" w:line="179"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relatively rapid amortization of principal;</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ranking to equity and collateralization of debt investments to minimize potential loss of capital;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equity appreciation through warrants.</w:t>
      </w:r>
    </w:p>
    <w:p>
      <w:pPr>
        <w:spacing w:after="0" w:line="217"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We believe that Venture Lending also provides an attractive financing source for portfolio companies, their management teams and their equity capital investors, as it:</w:t>
      </w:r>
    </w:p>
    <w:p>
      <w:pPr>
        <w:spacing w:after="0" w:line="179"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typically less dilutive to the equity holders than additional equity financing;</w:t>
      </w:r>
    </w:p>
    <w:p>
      <w:pPr>
        <w:spacing w:after="0" w:line="217" w:lineRule="exact"/>
        <w:rPr>
          <w:rFonts w:ascii="Arial" w:cs="Arial" w:eastAsia="Arial" w:hAnsi="Arial"/>
          <w:sz w:val="18"/>
          <w:szCs w:val="18"/>
          <w:color w:val="auto"/>
        </w:rPr>
      </w:pPr>
    </w:p>
    <w:p>
      <w:pPr>
        <w:ind w:left="640" w:hanging="316"/>
        <w:spacing w:after="0" w:line="26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extends the time period during which a portfolio company can operate before seeking additional equity capital or pursuing a sale transaction or other liquidity event; and</w:t>
      </w:r>
    </w:p>
    <w:p>
      <w:pPr>
        <w:spacing w:after="0" w:line="179"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allows portfolio companies to better match cash sources with uses.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we, together with our Advisor, possess significant competitive strengths, which include the following:</w:t>
      </w:r>
    </w:p>
    <w:p>
      <w:pPr>
        <w:spacing w:after="0" w:line="217" w:lineRule="exact"/>
        <w:rPr>
          <w:sz w:val="20"/>
          <w:szCs w:val="20"/>
          <w:color w:val="auto"/>
        </w:rPr>
      </w:pPr>
    </w:p>
    <w:p>
      <w:pPr>
        <w:jc w:val="both"/>
        <w:ind w:left="320" w:firstLine="318"/>
        <w:spacing w:after="0" w:line="330" w:lineRule="auto"/>
        <w:rPr>
          <w:sz w:val="20"/>
          <w:szCs w:val="20"/>
          <w:color w:val="auto"/>
        </w:rPr>
      </w:pPr>
      <w:r>
        <w:rPr>
          <w:rFonts w:ascii="Arial" w:cs="Arial" w:eastAsia="Arial" w:hAnsi="Arial"/>
          <w:sz w:val="15"/>
          <w:szCs w:val="15"/>
          <w:i w:val="1"/>
          <w:iCs w:val="1"/>
          <w:color w:val="auto"/>
        </w:rPr>
        <w:t xml:space="preserve">Consistently execute commitments and close transactions. </w:t>
      </w:r>
      <w:r>
        <w:rPr>
          <w:rFonts w:ascii="Arial" w:cs="Arial" w:eastAsia="Arial" w:hAnsi="Arial"/>
          <w:sz w:val="15"/>
          <w:szCs w:val="15"/>
          <w:color w:val="auto"/>
        </w:rPr>
        <w:t>Our Advisor and its senior management and investment professionals have an extensive</w:t>
      </w:r>
      <w:r>
        <w:rPr>
          <w:rFonts w:ascii="Arial" w:cs="Arial" w:eastAsia="Arial" w:hAnsi="Arial"/>
          <w:sz w:val="15"/>
          <w:szCs w:val="15"/>
          <w:i w:val="1"/>
          <w:iCs w:val="1"/>
          <w:color w:val="auto"/>
        </w:rPr>
        <w:t xml:space="preserve"> </w:t>
      </w:r>
      <w:r>
        <w:rPr>
          <w:rFonts w:ascii="Arial" w:cs="Arial" w:eastAsia="Arial" w:hAnsi="Arial"/>
          <w:sz w:val="15"/>
          <w:szCs w:val="15"/>
          <w:color w:val="auto"/>
        </w:rPr>
        <w:t>track record of originating, underwriting and managing Venture Loans. Our Advisor and its predecessor have directly originated, underwritten and managed Venture Loans with an aggregate original principal amount over $1.5 billion to more than 235 companies since operations commenced in 2004.</w:t>
      </w:r>
    </w:p>
    <w:p>
      <w:pPr>
        <w:spacing w:after="0" w:line="137" w:lineRule="exact"/>
        <w:rPr>
          <w:sz w:val="20"/>
          <w:szCs w:val="20"/>
          <w:color w:val="auto"/>
        </w:rPr>
      </w:pPr>
    </w:p>
    <w:p>
      <w:pPr>
        <w:jc w:val="both"/>
        <w:ind w:left="320" w:firstLine="318"/>
        <w:spacing w:after="0" w:line="265" w:lineRule="auto"/>
        <w:rPr>
          <w:sz w:val="20"/>
          <w:szCs w:val="20"/>
          <w:color w:val="auto"/>
        </w:rPr>
      </w:pPr>
      <w:r>
        <w:rPr>
          <w:rFonts w:ascii="Arial" w:cs="Arial" w:eastAsia="Arial" w:hAnsi="Arial"/>
          <w:sz w:val="18"/>
          <w:szCs w:val="18"/>
          <w:i w:val="1"/>
          <w:iCs w:val="1"/>
          <w:color w:val="auto"/>
        </w:rPr>
        <w:t xml:space="preserve">Robust direct origination capabilities. </w:t>
      </w:r>
      <w:r>
        <w:rPr>
          <w:rFonts w:ascii="Arial" w:cs="Arial" w:eastAsia="Arial" w:hAnsi="Arial"/>
          <w:sz w:val="18"/>
          <w:szCs w:val="18"/>
          <w:color w:val="auto"/>
        </w:rPr>
        <w:t>Our Advisor has significant experience originating Venture Loans in our Target Industries. This experience has</w:t>
      </w:r>
      <w:r>
        <w:rPr>
          <w:rFonts w:ascii="Arial" w:cs="Arial" w:eastAsia="Arial" w:hAnsi="Arial"/>
          <w:sz w:val="18"/>
          <w:szCs w:val="18"/>
          <w:i w:val="1"/>
          <w:iCs w:val="1"/>
          <w:color w:val="auto"/>
        </w:rPr>
        <w:t xml:space="preserve"> </w:t>
      </w:r>
      <w:r>
        <w:rPr>
          <w:rFonts w:ascii="Arial" w:cs="Arial" w:eastAsia="Arial" w:hAnsi="Arial"/>
          <w:sz w:val="18"/>
          <w:szCs w:val="18"/>
          <w:color w:val="auto"/>
        </w:rPr>
        <w:t>given our Advisor a deep knowledge of our Target Industries and an extensive base of transaction sources and references.</w:t>
      </w:r>
    </w:p>
    <w:p>
      <w:pPr>
        <w:spacing w:after="0" w:line="179"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i w:val="1"/>
          <w:iCs w:val="1"/>
          <w:color w:val="auto"/>
        </w:rPr>
        <w:t xml:space="preserve">Highly experienced and cohesive management team. </w:t>
      </w:r>
      <w:r>
        <w:rPr>
          <w:rFonts w:ascii="Arial" w:cs="Arial" w:eastAsia="Arial" w:hAnsi="Arial"/>
          <w:sz w:val="18"/>
          <w:szCs w:val="18"/>
          <w:color w:val="auto"/>
        </w:rPr>
        <w:t>Our Advisor’s senior management team of experienced professionals has been together since our</w:t>
      </w:r>
      <w:r>
        <w:rPr>
          <w:rFonts w:ascii="Arial" w:cs="Arial" w:eastAsia="Arial" w:hAnsi="Arial"/>
          <w:sz w:val="18"/>
          <w:szCs w:val="18"/>
          <w:i w:val="1"/>
          <w:iCs w:val="1"/>
          <w:color w:val="auto"/>
        </w:rPr>
        <w:t xml:space="preserve"> </w:t>
      </w:r>
      <w:r>
        <w:rPr>
          <w:rFonts w:ascii="Arial" w:cs="Arial" w:eastAsia="Arial" w:hAnsi="Arial"/>
          <w:sz w:val="18"/>
          <w:szCs w:val="18"/>
          <w:color w:val="auto"/>
        </w:rPr>
        <w:t>inception. This consistency allows companies, their management teams and their investors to rely on consistent and predictable service, loan products and terms and underwriting standards.</w:t>
      </w:r>
    </w:p>
    <w:p>
      <w:pPr>
        <w:spacing w:after="0" w:line="189" w:lineRule="exact"/>
        <w:rPr>
          <w:sz w:val="20"/>
          <w:szCs w:val="20"/>
          <w:color w:val="auto"/>
        </w:rPr>
      </w:pPr>
    </w:p>
    <w:p>
      <w:pPr>
        <w:jc w:val="both"/>
        <w:ind w:left="320" w:firstLine="318"/>
        <w:spacing w:after="0" w:line="265" w:lineRule="auto"/>
        <w:rPr>
          <w:sz w:val="20"/>
          <w:szCs w:val="20"/>
          <w:color w:val="auto"/>
        </w:rPr>
      </w:pPr>
      <w:r>
        <w:rPr>
          <w:rFonts w:ascii="Arial" w:cs="Arial" w:eastAsia="Arial" w:hAnsi="Arial"/>
          <w:sz w:val="18"/>
          <w:szCs w:val="18"/>
          <w:i w:val="1"/>
          <w:iCs w:val="1"/>
          <w:color w:val="auto"/>
        </w:rPr>
        <w:t xml:space="preserve">Relationships with venture capital and private equity investors. </w:t>
      </w:r>
      <w:r>
        <w:rPr>
          <w:rFonts w:ascii="Arial" w:cs="Arial" w:eastAsia="Arial" w:hAnsi="Arial"/>
          <w:sz w:val="18"/>
          <w:szCs w:val="18"/>
          <w:color w:val="auto"/>
        </w:rPr>
        <w:t>Our Advisor has developed strong relationships with venture capital and private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firms and their partners.</w:t>
      </w:r>
    </w:p>
    <w:p>
      <w:pPr>
        <w:spacing w:after="0" w:line="179" w:lineRule="exact"/>
        <w:rPr>
          <w:sz w:val="20"/>
          <w:szCs w:val="20"/>
          <w:color w:val="auto"/>
        </w:rPr>
      </w:pPr>
    </w:p>
    <w:p>
      <w:pPr>
        <w:jc w:val="both"/>
        <w:ind w:left="320" w:firstLine="318"/>
        <w:spacing w:after="0" w:line="265" w:lineRule="auto"/>
        <w:rPr>
          <w:sz w:val="20"/>
          <w:szCs w:val="20"/>
          <w:color w:val="auto"/>
        </w:rPr>
      </w:pPr>
      <w:r>
        <w:rPr>
          <w:rFonts w:ascii="Arial" w:cs="Arial" w:eastAsia="Arial" w:hAnsi="Arial"/>
          <w:sz w:val="18"/>
          <w:szCs w:val="18"/>
          <w:i w:val="1"/>
          <w:iCs w:val="1"/>
          <w:color w:val="auto"/>
        </w:rPr>
        <w:t xml:space="preserve">Well-known brand name. </w:t>
      </w:r>
      <w:r>
        <w:rPr>
          <w:rFonts w:ascii="Arial" w:cs="Arial" w:eastAsia="Arial" w:hAnsi="Arial"/>
          <w:sz w:val="18"/>
          <w:szCs w:val="18"/>
          <w:color w:val="auto"/>
        </w:rPr>
        <w:t>Our Advisor has originated Venture Loans to more than 235 companies in our Target Industries under the “Horizon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Finance” brand.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Competition</w:t>
      </w:r>
    </w:p>
    <w:p>
      <w:pPr>
        <w:spacing w:after="0" w:line="223"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compete to provide financing to development-stage companies in our Target Industries with a number of investment funds and other BDCs, as well as traditional financial services companies such as commercial banks and other financing sources. Some of our competitors are larger and have greater financial and other resources than we do. We believe we compete effectively with these entities primarily on the basis of the experience, industry knowledge and contacts of our Advisor’s investment professionals, our Advisor’s responsiveness, efficient investment analysis and decision-making processes, its creative financing products and its customized investment terms. We do not intend to compete primarily on the interest rates we offer and believe that some competitors make loans with rates that are comparable to or lower than our rates. For additional information concerning our competitive position and competitive risks, see “Item 1A — Risk Factors — Risks related to our business and structure — We operate in a highly competitive market for investment opportunities, and if we are not able to compete effectively, our business, results of operations and financial condition may be adversely affected and the value of your investment in us could decline.”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seek to invest in companies that vary by their stage of development, their Target Industries and sectors of Target Industries and their geographical location, as well as by the venture capital and private equity sponsors that support our portfolio companies. While we invest in companies at various stages of development, we require that prospective portfolio companies be beyond the seed stage of development and have received at least their first round of venture capital or private equity financing before we will consider making an investment. We expect a prospective portfolio company to demonstrate its ability to advance technology and increase its value over time.</w:t>
      </w:r>
    </w:p>
    <w:p>
      <w:pPr>
        <w:spacing w:after="0" w:line="19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identified several criteria that we believe have proven, and will prove, important in achieving our investment objective. These criteria provide general guidelines for our investment decisions. However, we caution you that not all of these criteria are met by each portfolio company in which we choose to invest.</w:t>
      </w:r>
    </w:p>
    <w:p>
      <w:pPr>
        <w:spacing w:after="0" w:line="189" w:lineRule="exact"/>
        <w:rPr>
          <w:sz w:val="20"/>
          <w:szCs w:val="20"/>
          <w:color w:val="auto"/>
        </w:rPr>
      </w:pPr>
    </w:p>
    <w:p>
      <w:pPr>
        <w:jc w:val="both"/>
        <w:ind w:left="320" w:firstLine="318"/>
        <w:spacing w:after="0" w:line="277" w:lineRule="auto"/>
        <w:rPr>
          <w:sz w:val="20"/>
          <w:szCs w:val="20"/>
          <w:color w:val="auto"/>
        </w:rPr>
      </w:pPr>
      <w:r>
        <w:rPr>
          <w:rFonts w:ascii="Arial" w:cs="Arial" w:eastAsia="Arial" w:hAnsi="Arial"/>
          <w:sz w:val="17"/>
          <w:szCs w:val="17"/>
          <w:i w:val="1"/>
          <w:iCs w:val="1"/>
          <w:color w:val="auto"/>
        </w:rPr>
        <w:t xml:space="preserve">Management. </w:t>
      </w:r>
      <w:r>
        <w:rPr>
          <w:rFonts w:ascii="Arial" w:cs="Arial" w:eastAsia="Arial" w:hAnsi="Arial"/>
          <w:sz w:val="17"/>
          <w:szCs w:val="17"/>
          <w:color w:val="auto"/>
        </w:rPr>
        <w:t>Our portfolio companies are generally led by experienced management that has in-market expertise in the Target Industry in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operates, as well as extensive experience with development-stage companies. The adequacy and completeness of the management team is assessed relative to the stage of development and the challenges facing the potential portfolio company.</w:t>
      </w:r>
    </w:p>
    <w:p>
      <w:pPr>
        <w:spacing w:after="0" w:line="172" w:lineRule="exact"/>
        <w:rPr>
          <w:sz w:val="20"/>
          <w:szCs w:val="20"/>
          <w:color w:val="auto"/>
        </w:rPr>
      </w:pPr>
    </w:p>
    <w:p>
      <w:pPr>
        <w:jc w:val="both"/>
        <w:ind w:left="320" w:firstLine="318"/>
        <w:spacing w:after="0" w:line="269" w:lineRule="auto"/>
        <w:rPr>
          <w:sz w:val="20"/>
          <w:szCs w:val="20"/>
          <w:color w:val="auto"/>
        </w:rPr>
      </w:pPr>
      <w:r>
        <w:rPr>
          <w:rFonts w:ascii="Arial" w:cs="Arial" w:eastAsia="Arial" w:hAnsi="Arial"/>
          <w:sz w:val="17"/>
          <w:szCs w:val="17"/>
          <w:i w:val="1"/>
          <w:iCs w:val="1"/>
          <w:color w:val="auto"/>
        </w:rPr>
        <w:t xml:space="preserve">Continuing support from one or more venture capital and private equity investors. </w:t>
      </w:r>
      <w:r>
        <w:rPr>
          <w:rFonts w:ascii="Arial" w:cs="Arial" w:eastAsia="Arial" w:hAnsi="Arial"/>
          <w:sz w:val="17"/>
          <w:szCs w:val="17"/>
          <w:color w:val="auto"/>
        </w:rPr>
        <w:t>We typically invest in companies in which one or more 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capital and private equity investors have previously invested and continue to make a contribution to the management of the business. We believe that established venture capital and private equity investors can serve as committed partners and will assist their portfolio companies and their management teams in creating value. We take into consideration the total amount raised by the company, the valuation history, investor reserves for future investment and the expected timing and milestones to the next equity round financing.</w:t>
      </w:r>
    </w:p>
    <w:p>
      <w:pPr>
        <w:spacing w:after="0" w:line="177"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i w:val="1"/>
          <w:iCs w:val="1"/>
          <w:color w:val="auto"/>
        </w:rPr>
        <w:t xml:space="preserve">Operating plan and cash resources. </w:t>
      </w:r>
      <w:r>
        <w:rPr>
          <w:rFonts w:ascii="Arial" w:cs="Arial" w:eastAsia="Arial" w:hAnsi="Arial"/>
          <w:sz w:val="17"/>
          <w:szCs w:val="17"/>
          <w:color w:val="auto"/>
        </w:rPr>
        <w:t>We generally require that a prospective portfolio company, in addition to having sufficient access to capital to</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leverage, demonstrate an operating plan capable of generating cash flows or the ability to raise the additional capital necessary to cover its operating expenses and service its debt. Our review of the operating plan will take into consideration existing cash, cash burn, cash runway and the milestones necessary for the company to achieve cash flow positive operations or to access additional equity from its investors.</w:t>
      </w:r>
    </w:p>
    <w:p>
      <w:pPr>
        <w:spacing w:after="0" w:line="178"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i w:val="1"/>
          <w:iCs w:val="1"/>
          <w:color w:val="auto"/>
        </w:rPr>
        <w:t xml:space="preserve">Enterprise and technology value. </w:t>
      </w:r>
      <w:r>
        <w:rPr>
          <w:rFonts w:ascii="Arial" w:cs="Arial" w:eastAsia="Arial" w:hAnsi="Arial"/>
          <w:sz w:val="18"/>
          <w:szCs w:val="18"/>
          <w:color w:val="auto"/>
        </w:rPr>
        <w:t>We expect that the enterprise value of a prospective portfolio company should substantially exceed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debt borrowed by the company. Enterprise value includes the implied valuation based upon recent equity capital invested as well as the intrinsic value of the company’s particular technology, service or customer base.</w:t>
      </w:r>
    </w:p>
    <w:p>
      <w:pPr>
        <w:spacing w:after="0" w:line="189"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i w:val="1"/>
          <w:iCs w:val="1"/>
          <w:color w:val="auto"/>
        </w:rPr>
        <w:t xml:space="preserve">Market opportunity and exit strategy. </w:t>
      </w:r>
      <w:r>
        <w:rPr>
          <w:rFonts w:ascii="Arial" w:cs="Arial" w:eastAsia="Arial" w:hAnsi="Arial"/>
          <w:sz w:val="18"/>
          <w:szCs w:val="18"/>
          <w:color w:val="auto"/>
        </w:rPr>
        <w:t>We seek portfolio companies that are addressing market opportunities that capitalize on their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advantages. Competitive advantages may include unique technology, protected intellectual property, superior clinical results or significant market traction. As part of our investment analysis, we typically also consider potential realization of our warrants through merger, acquisition or initial public offering based upon comparable exits in the company’s Target Industry.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w:t>
      </w:r>
    </w:p>
    <w:p>
      <w:pPr>
        <w:spacing w:after="0" w:line="22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Board has delegated authority for all investment decisions to our Advisor. Our Advisor, in turn, has created an integrated approach to the loan origination, underwriting, approval and documentation process that we believe effectively combines the skills of our Advisor’s professionals. This process allows our Advisor to achieve an efficient and timely closing of an investment from the initial contact with a prospective portfolio company through the investment decision, close of documentation and funding of the investment, while ensuring that our Advisor’s rigorous underwriting standards are consistently maintained. We believe that the high level of involvement by our Advisor’s staff in the various phases of the investment process allows us to minimize the credit risk while delivering superior service to our portfolio companies.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9" w:name="page10"/>
    <w:bookmarkEnd w:id="9"/>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Origination. </w:t>
      </w:r>
      <w:r>
        <w:rPr>
          <w:rFonts w:ascii="Arial" w:cs="Arial" w:eastAsia="Arial" w:hAnsi="Arial"/>
          <w:sz w:val="18"/>
          <w:szCs w:val="18"/>
          <w:color w:val="auto"/>
        </w:rPr>
        <w:t>Our Advisor’s loan origination process begins with its industry-focused regional managing directors who are responsible for identifying,</w:t>
      </w:r>
      <w:r>
        <w:rPr>
          <w:rFonts w:ascii="Arial" w:cs="Arial" w:eastAsia="Arial" w:hAnsi="Arial"/>
          <w:sz w:val="18"/>
          <w:szCs w:val="18"/>
          <w:i w:val="1"/>
          <w:iCs w:val="1"/>
          <w:color w:val="auto"/>
        </w:rPr>
        <w:t xml:space="preserve"> </w:t>
      </w:r>
      <w:r>
        <w:rPr>
          <w:rFonts w:ascii="Arial" w:cs="Arial" w:eastAsia="Arial" w:hAnsi="Arial"/>
          <w:sz w:val="18"/>
          <w:szCs w:val="18"/>
          <w:color w:val="auto"/>
        </w:rPr>
        <w:t>contacting and screening prospects. These managing directors meet with key decision makers and deal referral sources such as venture capital and private equity firms and management teams, legal firms, accounting firms, investment banks and other lenders to source prospective portfolio companies. We believe our brand name and management team are well known within the Venture Lending community, as well as by many repeat entrepreneurs and board members of prospective portfolio companies. These broad relationships, which reach across the Venture Lending industry, give rise to a significant portion of our Advisor’s deal origination.</w:t>
      </w:r>
    </w:p>
    <w:p>
      <w:pPr>
        <w:spacing w:after="0" w:line="19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responsible managing director of our Advisor obtains materials from the prospective portfolio company and from those materials, as well as other available information, determines whether it is appropriate for our Advisor to issue a non-binding term sheet. The managing director bases this decision to proceed on his or her experience, the competitive environment and the prospective portfolio company’s needs and also seeks the counsel of our Advisor’s senior management and investment team.</w:t>
      </w:r>
    </w:p>
    <w:p>
      <w:pPr>
        <w:spacing w:after="0" w:line="1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i w:val="1"/>
          <w:iCs w:val="1"/>
          <w:color w:val="auto"/>
        </w:rPr>
        <w:t xml:space="preserve">Term sheet. </w:t>
      </w:r>
      <w:r>
        <w:rPr>
          <w:rFonts w:ascii="Arial" w:cs="Arial" w:eastAsia="Arial" w:hAnsi="Arial"/>
          <w:sz w:val="18"/>
          <w:szCs w:val="18"/>
          <w:color w:val="auto"/>
        </w:rPr>
        <w:t>If the managing director determines, after review and consultation with senior management, that the potential transaction meets our</w:t>
      </w:r>
      <w:r>
        <w:rPr>
          <w:rFonts w:ascii="Arial" w:cs="Arial" w:eastAsia="Arial" w:hAnsi="Arial"/>
          <w:sz w:val="18"/>
          <w:szCs w:val="18"/>
          <w:i w:val="1"/>
          <w:iCs w:val="1"/>
          <w:color w:val="auto"/>
        </w:rPr>
        <w:t xml:space="preserve"> </w:t>
      </w:r>
      <w:r>
        <w:rPr>
          <w:rFonts w:ascii="Arial" w:cs="Arial" w:eastAsia="Arial" w:hAnsi="Arial"/>
          <w:sz w:val="18"/>
          <w:szCs w:val="18"/>
          <w:color w:val="auto"/>
        </w:rPr>
        <w:t>Advisor’s initial credit standards, our Advisor will issue a non-binding term sheet to the prospective portfolio company.</w:t>
      </w:r>
    </w:p>
    <w:p>
      <w:pPr>
        <w:spacing w:after="0" w:line="17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terms of the transaction are tailored to a prospective portfolio company’s specific funding needs while taking into consideration market dynamics, the quality of the management team, the venture capital and private equity investors involved and applicable credit criteria, which may include the prospective portfolio company’s existing cash resources, the development of its technology and the anticipated timing for the next round of equity financing.</w:t>
      </w:r>
    </w:p>
    <w:p>
      <w:pPr>
        <w:spacing w:after="0" w:line="13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i w:val="1"/>
          <w:iCs w:val="1"/>
          <w:color w:val="auto"/>
        </w:rPr>
        <w:t xml:space="preserve">Underwriting. </w:t>
      </w:r>
      <w:r>
        <w:rPr>
          <w:rFonts w:ascii="Arial" w:cs="Arial" w:eastAsia="Arial" w:hAnsi="Arial"/>
          <w:sz w:val="18"/>
          <w:szCs w:val="18"/>
          <w:color w:val="auto"/>
        </w:rPr>
        <w:t>Once the term sheet has been negotiated and executed and the prospective portfolio company has remitted a good faith deposit, we</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additional due diligence materials from the prospective portfolio company and arrange for a due diligence visit.</w:t>
      </w:r>
    </w:p>
    <w:p>
      <w:pPr>
        <w:spacing w:after="0" w:line="17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 xml:space="preserve">Due diligence. </w:t>
      </w:r>
      <w:r>
        <w:rPr>
          <w:rFonts w:ascii="Arial" w:cs="Arial" w:eastAsia="Arial" w:hAnsi="Arial"/>
          <w:sz w:val="17"/>
          <w:szCs w:val="17"/>
          <w:color w:val="auto"/>
        </w:rPr>
        <w:t>The due diligence process includes a formal visit to the prospective portfolio company’s location and interviews with the prospective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 company’s senior management team. The process includes obtaining and analyzing publicly available information from independent third parties that have knowledge of the prospective portfolio company’s business, including, to the extent available, analysts that follow the technology market, thought leaders in our Target Industries and important customers or partners, if any. Outside sources of information are reviewed, including industry publications, scientific and market articles, internet publications, publicly available information on competitors or competing technologies and information known to our Advisor’s investment team from their experience in the technology markets.</w:t>
      </w:r>
    </w:p>
    <w:p>
      <w:pPr>
        <w:spacing w:after="0" w:line="18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 primary element of the due diligence process is interviewing key existing investors of the prospective portfolio company, who are often also members of the prospective portfolio company’s board of directors. While these board members and/or investors are not independent sources of information, their support for management and willingness to support the prospective portfolio company’s further development are critical elements of our decision making process.</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Investment memorandum. </w:t>
      </w:r>
      <w:r>
        <w:rPr>
          <w:rFonts w:ascii="Arial" w:cs="Arial" w:eastAsia="Arial" w:hAnsi="Arial"/>
          <w:sz w:val="15"/>
          <w:szCs w:val="15"/>
          <w:color w:val="auto"/>
        </w:rPr>
        <w:t>Upon completion of the due diligence process and review and analysis of all of the information provided by the prospective</w:t>
      </w:r>
      <w:r>
        <w:rPr>
          <w:rFonts w:ascii="Arial" w:cs="Arial" w:eastAsia="Arial" w:hAnsi="Arial"/>
          <w:sz w:val="15"/>
          <w:szCs w:val="15"/>
          <w:i w:val="1"/>
          <w:iCs w:val="1"/>
          <w:color w:val="auto"/>
        </w:rPr>
        <w:t xml:space="preserve"> </w:t>
      </w:r>
      <w:r>
        <w:rPr>
          <w:rFonts w:ascii="Arial" w:cs="Arial" w:eastAsia="Arial" w:hAnsi="Arial"/>
          <w:sz w:val="15"/>
          <w:szCs w:val="15"/>
          <w:color w:val="auto"/>
        </w:rPr>
        <w:t>portfolio company and obtained externally, our Advisor’s assigned credit officer prepares an investment memorandum for review and approval. The investment memorandum is reviewed by our Advisor’s Chief Investment Officer and then submitted to our Advisor’s investment committee for approval.</w:t>
      </w:r>
    </w:p>
    <w:p>
      <w:pPr>
        <w:spacing w:after="0" w:line="137"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i w:val="1"/>
          <w:iCs w:val="1"/>
          <w:color w:val="auto"/>
        </w:rPr>
        <w:t xml:space="preserve">Investment committee. </w:t>
      </w:r>
      <w:r>
        <w:rPr>
          <w:rFonts w:ascii="Arial" w:cs="Arial" w:eastAsia="Arial" w:hAnsi="Arial"/>
          <w:sz w:val="17"/>
          <w:szCs w:val="17"/>
          <w:color w:val="auto"/>
        </w:rPr>
        <w:t>Our Advisor’s investment committee is responsible for overall credit policy, portfolio management, approval of all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 monitoring and reporting and managing of problem accounts. The committee interacts with the entire staff of our Advisor to review potential transactions and deal flow. This interaction of cross-functional members of our Advisor’s staff assures efficient transaction sourcing, negotiating and underwriting throughout the transaction process. Portfolio performance and current market conditions are reviewed and discussed by the investment committee on a regular basis to assure that transaction structures and terms are consistent and current.</w:t>
      </w:r>
    </w:p>
    <w:p>
      <w:pPr>
        <w:spacing w:after="0" w:line="39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249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100"/>
          </w:cols>
          <w:pgMar w:left="560" w:top="896" w:right="239" w:bottom="1440" w:gutter="0" w:footer="0" w:header="0"/>
        </w:sectPr>
      </w:pPr>
    </w:p>
    <w:bookmarkStart w:id="10" w:name="page11"/>
    <w:bookmarkEnd w:id="10"/>
    <w:p>
      <w:pPr>
        <w:jc w:val="both"/>
        <w:ind w:firstLine="318"/>
        <w:spacing w:after="0" w:line="309" w:lineRule="auto"/>
        <w:rPr>
          <w:sz w:val="20"/>
          <w:szCs w:val="20"/>
          <w:color w:val="auto"/>
        </w:rPr>
      </w:pPr>
      <w:r>
        <w:rPr>
          <w:rFonts w:ascii="Arial" w:cs="Arial" w:eastAsia="Arial" w:hAnsi="Arial"/>
          <w:sz w:val="15"/>
          <w:szCs w:val="15"/>
          <w:i w:val="1"/>
          <w:iCs w:val="1"/>
          <w:color w:val="auto"/>
        </w:rPr>
        <w:t xml:space="preserve">Loan closing and funding. </w:t>
      </w:r>
      <w:r>
        <w:rPr>
          <w:rFonts w:ascii="Arial" w:cs="Arial" w:eastAsia="Arial" w:hAnsi="Arial"/>
          <w:sz w:val="15"/>
          <w:szCs w:val="15"/>
          <w:color w:val="auto"/>
        </w:rPr>
        <w:t>Approved investments are documented and closed by our Advisor’s in-house legal and loan administration staff. Loan</w:t>
      </w:r>
      <w:r>
        <w:rPr>
          <w:rFonts w:ascii="Arial" w:cs="Arial" w:eastAsia="Arial" w:hAnsi="Arial"/>
          <w:sz w:val="15"/>
          <w:szCs w:val="15"/>
          <w:i w:val="1"/>
          <w:iCs w:val="1"/>
          <w:color w:val="auto"/>
        </w:rPr>
        <w:t xml:space="preserve"> </w:t>
      </w:r>
      <w:r>
        <w:rPr>
          <w:rFonts w:ascii="Arial" w:cs="Arial" w:eastAsia="Arial" w:hAnsi="Arial"/>
          <w:sz w:val="15"/>
          <w:szCs w:val="15"/>
          <w:color w:val="auto"/>
        </w:rPr>
        <w:t>documentation is based upon standard templates created by our Advisor and is customized for each transaction to reflect the specific deal terms. The transaction documents typically include a loan and security agreement, warrant agreement and applicable perfection documents, including applicable Uniform Commercial Code financing statements and, as applicable, may also include a landlord agreement, patent and trademark security grants, a subordination agreement, an intercreditor agreement and other standard agreements for commercial loans in the Venture Lending industry. Funding requires final approval by our Advisor’s General Counsel, Chief Executive Officer or President, Chief Financial Officer and Chief Investment Officer.</w:t>
      </w:r>
    </w:p>
    <w:p>
      <w:pPr>
        <w:spacing w:after="0" w:line="153"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i w:val="1"/>
          <w:iCs w:val="1"/>
          <w:color w:val="auto"/>
        </w:rPr>
        <w:t xml:space="preserve">Portfolio management and reporting. </w:t>
      </w:r>
      <w:r>
        <w:rPr>
          <w:rFonts w:ascii="Arial" w:cs="Arial" w:eastAsia="Arial" w:hAnsi="Arial"/>
          <w:sz w:val="17"/>
          <w:szCs w:val="17"/>
          <w:color w:val="auto"/>
        </w:rPr>
        <w:t>Our Advisor maintains a “hands on” approach to maintain communication with our portfolio companies. At least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quarterly, our Advisor contacts our portfolio companies for operational and financial updates by phone and performs reviews. Our Advisor may contact portfolio companies deemed to have greater credit risk on a monthly or more frequent basis. Our Advisor requires all private companies to provide financial statements, typically monthly. For public companies, our Advisor typically relies on publicly reported quarterly financials. This allows our Advisor to identify any unexpected developments in the financial performance or condition of our portfolio company</w:t>
      </w:r>
      <w:r>
        <w:rPr>
          <w:rFonts w:ascii="Arial" w:cs="Arial" w:eastAsia="Arial" w:hAnsi="Arial"/>
          <w:sz w:val="17"/>
          <w:szCs w:val="17"/>
          <w:i w:val="1"/>
          <w:iCs w:val="1"/>
          <w:color w:val="auto"/>
        </w:rPr>
        <w:t>.</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Advisor has developed a proprietary internal credit rating system to analyze the quality of our debt investments. Using this system, our Advisor analyzes and then rates the credit risk within the portfolio on a quarterly basis. Each portfolio company is rated on a 1 through 4 scale, with 3 representing the rating for a standard level of risk. A rating of 4 represents an improved and better credit quality than existed at the time of its original underwriting. A rating of 2 or 1 represents a deteriorating credit quality and an increased risk of loss of principal. Newly funded investments are typically assigned a rating of 3, unless extraordinary circumstances require otherwise. These investment ratings are generated internally by our Advisor, and we cannot guarantee that others would assign the same ratings to our portfolio investments or similar portfolio investments.</w:t>
      </w:r>
    </w:p>
    <w:p>
      <w:pPr>
        <w:spacing w:after="0" w:line="18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Advisor closely monitors portfolio companies rated a 1 or 2 for adverse developments. In addition, our Advisor maintains regular contact with the management, board of directors and major equity holders of these portfolio companies in order to discuss strategic initiatives to correct the deterioration of the portfolio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describes each rating level:</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850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0265" cy="8255"/>
                    </a:xfrm>
                    <a:prstGeom prst="rect">
                      <a:avLst/>
                    </a:prstGeom>
                    <a:noFill/>
                  </pic:spPr>
                </pic:pic>
              </a:graphicData>
            </a:graphic>
          </wp:anchor>
        </w:drawing>
      </w:r>
    </w:p>
    <w:p>
      <w:pPr>
        <w:spacing w:after="0" w:line="4" w:lineRule="exact"/>
        <w:rPr>
          <w:sz w:val="20"/>
          <w:szCs w:val="20"/>
          <w:color w:val="auto"/>
        </w:rPr>
      </w:pPr>
    </w:p>
    <w:p>
      <w:pPr>
        <w:jc w:val="both"/>
        <w:ind w:left="1440" w:right="20" w:hanging="810"/>
        <w:spacing w:after="0" w:line="309" w:lineRule="auto"/>
        <w:tabs>
          <w:tab w:leader="none" w:pos="14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portfolio company has performed in excess of our expectations as demonstrated by exceeding revenue milestones, clinical milestones or other operating metrics or as a result of raising capital well in excess of our underwriting assumptions. Generally the portfolio company displays one or more of the following: its enterprise value greatly exceeds our loan balance; it has achieved cash flow positive operations or has sufficient cash resources to cover the remaining balance of the loan; there is strong potential for warrant gains from our warrants; and there is a high likelihood that the borrower will receive favorable future financing to support operations. Loans rated 4 are the lowest risk profile in our portfolio and have no expected risk of principal loss.</w:t>
      </w:r>
    </w:p>
    <w:p>
      <w:pPr>
        <w:spacing w:after="0" w:line="153" w:lineRule="exact"/>
        <w:rPr>
          <w:sz w:val="20"/>
          <w:szCs w:val="20"/>
          <w:color w:val="auto"/>
        </w:rPr>
      </w:pPr>
    </w:p>
    <w:p>
      <w:pPr>
        <w:jc w:val="both"/>
        <w:ind w:left="1440" w:right="20" w:hanging="810"/>
        <w:spacing w:after="0" w:line="267" w:lineRule="auto"/>
        <w:tabs>
          <w:tab w:leader="none" w:pos="1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portfolio company has performed to our expectations as demonstrated by meeting revenue milestones, clinical milestones or other operating metrics. It has raised, or is expected to raise, capital consistent with our underwriting assumptions. Generally the portfolio company displays one or more of the following: its enterprise value comfortably exceeds our loan balance; it has sufficient cash resources to operate according to its plan; it is expected to raise additional capital as needed; and there continues to be potential for warrant gains from our warrants. New loans are typically rated 3 when approved and thereafter 3-rated loans represent a standard risk profile, with no principal loss currently expected.</w:t>
      </w:r>
    </w:p>
    <w:p>
      <w:pPr>
        <w:spacing w:after="0" w:line="39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11430</wp:posOffset>
            </wp:positionV>
            <wp:extent cx="7249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100"/>
          </w:cols>
          <w:pgMar w:left="560" w:top="896" w:right="239" w:bottom="1440" w:gutter="0" w:footer="0" w:header="0"/>
        </w:sectPr>
      </w:pPr>
    </w:p>
    <w:bookmarkStart w:id="11" w:name="page12"/>
    <w:bookmarkEnd w:id="11"/>
    <w:p>
      <w:pPr>
        <w:jc w:val="both"/>
        <w:ind w:left="1760" w:right="20" w:hanging="810"/>
        <w:spacing w:after="0" w:line="307" w:lineRule="auto"/>
        <w:tabs>
          <w:tab w:leader="none" w:pos="17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portfolio company has performed below our expectations as demonstrated by missing revenue milestones, delayed clinical progress or otherwise failing to meet projected operating metrics. It may have raised capital in support of the poorer performance but generally on less favorable terms than originally contemplated at the time of underwriting. Generally the portfolio company displays one or more of the following: its enterprise value exceeds our loan balance but at a lower multiple than originally expected; it has sufficient cash to operate according to its plan but liquidity may be tight; and it is planning to raise additional capital but there is uncertainty and the potential for warrant gains from our warrants are possible, but unlikely. Loans rated 2 represent an increased level of risk of loss of principal. While no loss is currently anticipated for a 2-rated loan, there is potential for future loss of principal.</w:t>
      </w:r>
    </w:p>
    <w:p>
      <w:pPr>
        <w:spacing w:after="0" w:line="153" w:lineRule="exact"/>
        <w:rPr>
          <w:sz w:val="20"/>
          <w:szCs w:val="20"/>
          <w:color w:val="auto"/>
        </w:rPr>
      </w:pPr>
    </w:p>
    <w:p>
      <w:pPr>
        <w:jc w:val="both"/>
        <w:ind w:left="1760" w:right="20" w:hanging="810"/>
        <w:spacing w:after="0" w:line="249" w:lineRule="auto"/>
        <w:tabs>
          <w:tab w:leader="none" w:pos="1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portfolio company has performed well below plan as demonstrated by materially missing revenue milestones, delayed or failed clinical progress or otherwise failing to meet operating metrics. The portfolio company has not raised sufficient capital to operate effectively or retire its debt obligation to us. Generally the portfolio company displays one or more of the following: its enterprise value may not exceed our loan balance; it has insufficient cash to operate according to its plan and liquidity may be tight; and there are uncertain plans to raise additional capital or the portfolio company is being sold under distressed conditions. There is no potential for warrant gains from our warrants. Loans rated 1 are generally put on non-accrual status and represent a high degree of risk of loss of principal.</w:t>
      </w:r>
    </w:p>
    <w:p>
      <w:pPr>
        <w:spacing w:after="0" w:line="194" w:lineRule="exact"/>
        <w:rPr>
          <w:sz w:val="20"/>
          <w:szCs w:val="20"/>
          <w:color w:val="auto"/>
        </w:rPr>
      </w:pPr>
    </w:p>
    <w:p>
      <w:pPr>
        <w:jc w:val="both"/>
        <w:ind w:firstLine="383"/>
        <w:spacing w:after="0" w:line="265" w:lineRule="auto"/>
        <w:rPr>
          <w:sz w:val="20"/>
          <w:szCs w:val="20"/>
          <w:color w:val="auto"/>
        </w:rPr>
      </w:pPr>
      <w:r>
        <w:rPr>
          <w:rFonts w:ascii="Arial" w:cs="Arial" w:eastAsia="Arial" w:hAnsi="Arial"/>
          <w:sz w:val="18"/>
          <w:szCs w:val="18"/>
          <w:color w:val="auto"/>
        </w:rPr>
        <w:t>For a discussion of the ratings of our existing portfolio, see “Item 7 — Management’s Discussion and Analysis of Financial Condition and Results of Operations — Debt investment asset quality.”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a BDC, we offer, through our Advisor, and must provide upon request, managerial assistance to certain of our portfolio companies. This assistance may involve monitoring the operations of the portfolio companies, participating in board of directors and management meetings, consulting with and advising officers of portfolio companies and providing other organizational and financial guidance.</w:t>
      </w:r>
    </w:p>
    <w:p>
      <w:pPr>
        <w:spacing w:after="0" w:line="18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Although we may receive fees for these services, pursuant to the Administration Agreement, we will reimburse our Advisor for its expenses related to providing such services on our behalf.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do not have any employees. Each of our executive officers is an employee of our Advisor. Our day-to-day investment operations are managed by our</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Advisor. We reimburse our Advisor for our allocable portion of expenses incurred by it in performing its obligations under the Administration Agreement, as our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Administrator, including our allocable portion of the cost of our Chief Financial Officer and Chief Compliance Officer and their respective staffs.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Under the terms of the Investment Management Agreement, our Advisor:</w:t>
      </w:r>
    </w:p>
    <w:p>
      <w:pPr>
        <w:spacing w:after="0" w:line="217"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determines the composition of our portfolio, the nature and timing of the changes to our portfolio and the manner of implementing such changes;</w:t>
      </w:r>
    </w:p>
    <w:p>
      <w:pPr>
        <w:spacing w:after="0" w:line="251" w:lineRule="exact"/>
        <w:rPr>
          <w:rFonts w:ascii="Arial" w:cs="Arial" w:eastAsia="Arial" w:hAnsi="Arial"/>
          <w:sz w:val="15"/>
          <w:szCs w:val="15"/>
          <w:color w:val="auto"/>
        </w:rPr>
      </w:pPr>
    </w:p>
    <w:p>
      <w:pPr>
        <w:ind w:left="640" w:hanging="316"/>
        <w:spacing w:after="0" w:line="26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179"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closes, monitors and administers the investments we make, including the exercise of any voting or consent rights.</w:t>
      </w:r>
    </w:p>
    <w:p>
      <w:pPr>
        <w:spacing w:after="0" w:line="217"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Our Advisor’s services under the Investment Management Agreement are not exclusive, and it is free to furnish similar services to other entities so long as its services to us are not impaired.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fees</w:t>
      </w:r>
    </w:p>
    <w:p>
      <w:pPr>
        <w:spacing w:after="0" w:line="223"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Pursuant to our Investment Management Agreement, we pay our Advisor a fee for investment advisory and management services consisting of a base management fee and an incentive fee.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12" w:name="page13"/>
    <w:bookmarkEnd w:id="12"/>
    <w:p>
      <w:pPr>
        <w:ind w:left="640"/>
        <w:spacing w:after="0"/>
        <w:rPr>
          <w:sz w:val="20"/>
          <w:szCs w:val="20"/>
          <w:color w:val="auto"/>
        </w:rPr>
      </w:pPr>
      <w:r>
        <w:rPr>
          <w:rFonts w:ascii="Arial" w:cs="Arial" w:eastAsia="Arial" w:hAnsi="Arial"/>
          <w:sz w:val="15"/>
          <w:szCs w:val="15"/>
          <w:i w:val="1"/>
          <w:iCs w:val="1"/>
          <w:color w:val="auto"/>
        </w:rPr>
        <w:t xml:space="preserve">Base management fee. </w:t>
      </w:r>
      <w:r>
        <w:rPr>
          <w:rFonts w:ascii="Arial" w:cs="Arial" w:eastAsia="Arial" w:hAnsi="Arial"/>
          <w:sz w:val="15"/>
          <w:szCs w:val="15"/>
          <w:color w:val="auto"/>
        </w:rPr>
        <w:t>Through October 30, 2018, the base management fee, payable monthly in arrears, was calculated at an annual rate of 2.00% of</w:t>
      </w:r>
    </w:p>
    <w:p>
      <w:pPr>
        <w:spacing w:after="0" w:line="51" w:lineRule="exact"/>
        <w:rPr>
          <w:sz w:val="20"/>
          <w:szCs w:val="20"/>
          <w:color w:val="auto"/>
        </w:rPr>
      </w:pPr>
    </w:p>
    <w:p>
      <w:pPr>
        <w:jc w:val="both"/>
        <w:ind w:firstLine="6"/>
        <w:spacing w:after="0" w:line="306" w:lineRule="auto"/>
        <w:tabs>
          <w:tab w:leader="none" w:pos="214"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gross assets less (ii) cash and cash equivalents. For purposes of calculating the base management fee, the term “gross assets” includes any assets acquired with the proceeds of leverage. From and after October 31, 2018, the first date on which the reduced asset coverage requirements in Section 61(a)(2) of the 1940 Act apply to the Company, the base management fee was and will be calculated at an annual rate of 2.00% of the Company’s gross assets (less cash and cash equivalents) including any assets acquired with the proceeds of leverage; provided, that, to the extent the Company’s gross assets (less cash and cash equivalents) exceed $250 million, the base management fee on the amount of such excess over $250 million is calculated at an annual rate of 1.60% of the Company’s gross assets (less cash and cash equivalents) including any assets acquired with the proceeds of leverage.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Incentive fee. </w:t>
      </w:r>
      <w:r>
        <w:rPr>
          <w:rFonts w:ascii="Arial" w:cs="Arial" w:eastAsia="Arial" w:hAnsi="Arial"/>
          <w:sz w:val="18"/>
          <w:szCs w:val="18"/>
          <w:color w:val="auto"/>
        </w:rPr>
        <w:t>The incentive fee has two parts, as follows:</w:t>
      </w:r>
    </w:p>
    <w:p>
      <w:pPr>
        <w:spacing w:after="0" w:line="21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 first part, which is subject to the Incentive Fee Cap and Deferral Mechanism, as defined below,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expenses for the quarter (including the base management fee, expenses payable under the Administration Agreement, and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payment-in-kind interest, or PIK, and zero coupon securities), accrued income we have not yet received in cash. The incentive fee with respect to the Pre-Incentive Fee Net Investment Income is 20.00% of the amount, if any, by which the Pre-Incentive Fee Net Investment Income for the immediately preceding calendar quarter exceeds a hurdle rate of 1.75% (which is 7.00% annualized) of our net assets at the end of the immediately preceding calendar quarter, subject to a “catch-up” provision measured as of the end of each calendar quarter. Under this provision, in any calendar quarter, the Advisor receives no incentive fee until the Pre-Incentive Fee Net Investment Income equals the hurdle rate of 1.75%, but then receives, as a “catch-up,” 100.00% of the Pre-Incentive Fee Net Investment Income with respect to that portion of such Pre-Incentive Fee Net Investment Income, if any, that exceeds the hurdle rate but is less than 2.1875% quarterly (which is 8.75% annualized). The effect of this “catch-up” provision is that, if Pre-Incentive Fee Net Investment Income exceeds 2.1875% in any calendar quarter, the Advisor will receive 20.00% of the Pre-Incentive Fee Net Investment Income as if the hurdle rate did not apply.</w:t>
      </w:r>
    </w:p>
    <w:p>
      <w:pPr>
        <w:spacing w:after="0" w:line="37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up to the Incentive Fee Cap, defined below, even if we have incurred a loss in that quarter due to realized and unrealized capital losses. Our net investment income used to calculate this part of the incentive fee is also included in the amount of our gross assets used to calculate the 2.00% base management fee. These calculations are appropriately prorated for any period of less than three months and adjusted for any share issuances or repurchases during the applicable quarter.</w:t>
      </w:r>
    </w:p>
    <w:p>
      <w:pPr>
        <w:spacing w:after="0" w:line="153"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Commencing with the calendar quarter beginning July 1, 2014, the incentive fee on Pre-Incentive Fee Net Investment Income is subject to a fee cap and deferral mechanism which is determined based upon a look-back period of up to three years and is expensed when incurred. For this purpose, the look-back period for the incentive fee based on Pre-Incentive Fee Net Investment Income, or the Incentive Fee Look-back Period, commenced on July 1, 2014 and increased by one quarter in length at the end of each calendar quarter until June 30, 2017. Since July 1, 2017, the Incentive Fee Look-back Period includes the most recently completed calendar quarter and the 11 preceding full calendar quarters. Each quarterly incentive fee payable on Pre-Incentive Fee Net Investment Income is subject to a cap, or the Incentive Fee Cap, and a deferral mechanism through which the Advisor may recoup a portion of such deferred incentive fees (collectively, the Incentive Fee Cap and Deferral Mechanism). The Incentive Fee Cap is equal to (a) 20.00% of Cumulative Pre-Incentive Fee Net Return (as defined below) during the Incentive Fee Look-back Period less (b) cumulative incentive fees of any kind paid to the Advisor during the Incentive Fee Look-back Period. To the extent the Incentive Fee Cap is zero or a negative value in any calendar quarter, we will not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We only pay incentive fees on Pre-Incentive Fee Net Investment Income to the extent allowed by the Incentive Fee Cap and Deferral Mechanism. “Cumulative Pre-Incentive Fee Net Return” during any Incentive Fee Look-back Period means the sum of (a) Pre-Incentive Fee Net Investment Income and the base management fee for each calendar quarter during the Incentive Fee Look-back Period and (b) the sum of cumulative realized capital gains and losses, cumulative unrealized capital appreciation and cumulative unrealized capital depreciation during the applicable Incentive Fee Look-back Period.</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13" w:name="page14"/>
    <w:bookmarkEnd w:id="13"/>
    <w:p>
      <w:pPr>
        <w:jc w:val="both"/>
        <w:ind w:firstLine="318"/>
        <w:spacing w:after="0" w:line="255" w:lineRule="auto"/>
        <w:rPr>
          <w:sz w:val="20"/>
          <w:szCs w:val="20"/>
          <w:color w:val="auto"/>
        </w:rPr>
      </w:pPr>
      <w:r>
        <w:rPr>
          <w:rFonts w:ascii="Arial" w:cs="Arial" w:eastAsia="Arial" w:hAnsi="Arial"/>
          <w:sz w:val="18"/>
          <w:szCs w:val="18"/>
          <w:color w:val="auto"/>
        </w:rPr>
        <w:t>On March 6, 2018, the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are not subject to recoupment.</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149860</wp:posOffset>
            </wp:positionV>
            <wp:extent cx="4251960" cy="690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1960" cy="69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Percentage of Pre-Incentive Fee Net Investment Income allocated to first part of incentive fee</w:t>
      </w:r>
    </w:p>
    <w:p>
      <w:pPr>
        <w:spacing w:after="0" w:line="22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Management Agreement, as of the termination date) and equals 20.00% of our realized capital gains, if any, on a cumulative basis from the date of our election to be a BDC through the end of each calendar year, computed net of all realized capital losses and unrealized capital depreciation on a cumulative basis through the end of such year, less all previous amounts paid in respect of the capital gain incentive fee.</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Examples of incentive fee calculation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Example 1: Income related portion of incentive fee before total return requirement calculation for each fiscal quarter</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Alternative 1</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Hurdle rate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 1.75%</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Management fee</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 0.50%</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0.20%</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Pre-Incentive Fee Net Investment Income (investment income - (management fee + other expenses)) = 0.55%</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Pre-Incentive Fee Net Investment Income does not exceed hurdle rate; therefore, there is no income-related incentive fee.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Alternative 2</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Investment income (including interest, distributions, fees, etc.) = 2.80%</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Hurdle rate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 1.75%</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Management fee</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 0.50%</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14" w:name="page15"/>
    <w:bookmarkEnd w:id="14"/>
    <w:p>
      <w:pPr>
        <w:ind w:left="32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0.20%</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Pre-Incentive Fee Net Investment Income (investment income - (management fee + other expenses)) = 2.10%</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Incentive fee = 100.00% × Pre-Incentive Fee Net Investment Income (subject to “catch-up”)</w:t>
      </w:r>
      <w:r>
        <w:rPr>
          <w:rFonts w:ascii="Arial" w:cs="Arial" w:eastAsia="Arial" w:hAnsi="Arial"/>
          <w:sz w:val="29"/>
          <w:szCs w:val="29"/>
          <w:color w:val="auto"/>
          <w:vertAlign w:val="superscript"/>
        </w:rPr>
        <w:t>(4)</w:t>
      </w:r>
    </w:p>
    <w:p>
      <w:pPr>
        <w:spacing w:after="0" w:line="129" w:lineRule="exact"/>
        <w:rPr>
          <w:sz w:val="20"/>
          <w:szCs w:val="20"/>
          <w:color w:val="auto"/>
        </w:rPr>
      </w:pPr>
    </w:p>
    <w:p>
      <w:pPr>
        <w:ind w:left="460" w:hanging="136"/>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100.00% × (2.10% - 1.75%)</w:t>
      </w:r>
    </w:p>
    <w:p>
      <w:pPr>
        <w:spacing w:after="0" w:line="217" w:lineRule="exact"/>
        <w:rPr>
          <w:rFonts w:ascii="Arial" w:cs="Arial" w:eastAsia="Arial" w:hAnsi="Arial"/>
          <w:sz w:val="18"/>
          <w:szCs w:val="18"/>
          <w:color w:val="auto"/>
        </w:rPr>
      </w:pPr>
    </w:p>
    <w:p>
      <w:pPr>
        <w:ind w:left="460" w:hanging="136"/>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0.35%</w:t>
      </w:r>
    </w:p>
    <w:p>
      <w:pPr>
        <w:spacing w:after="0" w:line="217" w:lineRule="exact"/>
        <w:rPr>
          <w:sz w:val="20"/>
          <w:szCs w:val="20"/>
          <w:color w:val="auto"/>
        </w:rPr>
      </w:pPr>
    </w:p>
    <w:p>
      <w:pPr>
        <w:ind w:left="320"/>
        <w:spacing w:after="0" w:line="265" w:lineRule="auto"/>
        <w:rPr>
          <w:sz w:val="20"/>
          <w:szCs w:val="20"/>
          <w:color w:val="auto"/>
        </w:rPr>
      </w:pPr>
      <w:r>
        <w:rPr>
          <w:rFonts w:ascii="Arial" w:cs="Arial" w:eastAsia="Arial" w:hAnsi="Arial"/>
          <w:sz w:val="18"/>
          <w:szCs w:val="18"/>
          <w:color w:val="auto"/>
        </w:rPr>
        <w:t>Pre-Incentive Fee Net Investment Income exceeds the hurdle rate, but does not fully satisfy the “catch-up” provision; therefore, the income related portion of the incentive fee is 0.35%.</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Alternative 3</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Hurdle rate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 1.75%</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Management fee</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 0.50%</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0.20%</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Pre-Incentive Fee Net Investment Income (investment income - (management fee + other expenses)) = 2.30%</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Incentive fee = 100.00% × Pre-Incentive Fee Net Investment Income (subject to “catch-up”)</w:t>
      </w:r>
      <w:r>
        <w:rPr>
          <w:rFonts w:ascii="Arial" w:cs="Arial" w:eastAsia="Arial" w:hAnsi="Arial"/>
          <w:sz w:val="29"/>
          <w:szCs w:val="29"/>
          <w:color w:val="auto"/>
          <w:vertAlign w:val="superscript"/>
        </w:rPr>
        <w:t>(4)</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Incentive fee = 100.00% × “catch-up” + (20.00% × (Pre-Incentive Fee Net Investment Income - 2.1875%))</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Catch up = 2.1875% - 1.75%</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0.4375%</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Incentive fee = (100.00% × 0.4375%) + (20.00% × (2.30% - 2.1875%))</w:t>
      </w:r>
    </w:p>
    <w:p>
      <w:pPr>
        <w:spacing w:after="0" w:line="217" w:lineRule="exact"/>
        <w:rPr>
          <w:sz w:val="20"/>
          <w:szCs w:val="20"/>
          <w:color w:val="auto"/>
        </w:rPr>
      </w:pPr>
    </w:p>
    <w:p>
      <w:pPr>
        <w:ind w:left="460" w:hanging="136"/>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0.4375% + (20.00% × 0.1125%)</w:t>
      </w:r>
    </w:p>
    <w:p>
      <w:pPr>
        <w:spacing w:after="0" w:line="217" w:lineRule="exact"/>
        <w:rPr>
          <w:rFonts w:ascii="Arial" w:cs="Arial" w:eastAsia="Arial" w:hAnsi="Arial"/>
          <w:sz w:val="18"/>
          <w:szCs w:val="18"/>
          <w:color w:val="auto"/>
        </w:rPr>
      </w:pPr>
    </w:p>
    <w:p>
      <w:pPr>
        <w:ind w:left="460" w:hanging="136"/>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217" w:lineRule="exact"/>
        <w:rPr>
          <w:rFonts w:ascii="Arial" w:cs="Arial" w:eastAsia="Arial" w:hAnsi="Arial"/>
          <w:sz w:val="18"/>
          <w:szCs w:val="18"/>
          <w:color w:val="auto"/>
        </w:rPr>
      </w:pPr>
    </w:p>
    <w:p>
      <w:pPr>
        <w:ind w:left="460" w:hanging="136"/>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0.46%</w:t>
      </w:r>
    </w:p>
    <w:p>
      <w:pPr>
        <w:spacing w:after="0" w:line="217" w:lineRule="exact"/>
        <w:rPr>
          <w:sz w:val="20"/>
          <w:szCs w:val="20"/>
          <w:color w:val="auto"/>
        </w:rPr>
      </w:pPr>
    </w:p>
    <w:p>
      <w:pPr>
        <w:ind w:left="320"/>
        <w:spacing w:after="0" w:line="265" w:lineRule="auto"/>
        <w:rPr>
          <w:sz w:val="20"/>
          <w:szCs w:val="20"/>
          <w:color w:val="auto"/>
        </w:rPr>
      </w:pPr>
      <w:r>
        <w:rPr>
          <w:rFonts w:ascii="Arial" w:cs="Arial" w:eastAsia="Arial" w:hAnsi="Arial"/>
          <w:sz w:val="18"/>
          <w:szCs w:val="18"/>
          <w:color w:val="auto"/>
        </w:rPr>
        <w:t>Pre-Incentive Fee Net Investment Income exceeds the hurdle rate and fully satisfies the “catch-up” provision; therefore, the income related portion of the incentive fee is 0.46%.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17"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7.00% annualized hurdle rate.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2.00% annualized base management fee.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17" w:lineRule="exact"/>
        <w:rPr>
          <w:rFonts w:ascii="Arial" w:cs="Arial" w:eastAsia="Arial" w:hAnsi="Arial"/>
          <w:sz w:val="18"/>
          <w:szCs w:val="18"/>
          <w:color w:val="auto"/>
        </w:rPr>
      </w:pPr>
    </w:p>
    <w:p>
      <w:pPr>
        <w:ind w:left="640" w:hanging="316"/>
        <w:spacing w:after="0" w:line="265"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“catch-up” provision is intended to provide our Advisor with an incentive fee of 20.00% on all Pre-Incentive Fee Net Investment Income as if a hurdle rate did not apply when our Pre-Incentive Fee Net Investment Income exceeds 2.1875% in any fiscal quarter.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15" w:name="page16"/>
    <w:bookmarkEnd w:id="15"/>
    <w:p>
      <w:pPr>
        <w:ind w:left="260"/>
        <w:spacing w:after="0"/>
        <w:rPr>
          <w:sz w:val="20"/>
          <w:szCs w:val="20"/>
          <w:color w:val="auto"/>
        </w:rPr>
      </w:pPr>
      <w:r>
        <w:rPr>
          <w:rFonts w:ascii="Arial" w:cs="Arial" w:eastAsia="Arial" w:hAnsi="Arial"/>
          <w:sz w:val="18"/>
          <w:szCs w:val="18"/>
          <w:i w:val="1"/>
          <w:iCs w:val="1"/>
          <w:u w:val="single" w:color="auto"/>
          <w:color w:val="auto"/>
        </w:rPr>
        <w:t>Example 2: Income related portion of incentive fee after total return requirement calculation for each fiscal quarter</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Alternative 1</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distributions, fees, etc.) = 2.80%</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 1.75%</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 0.50%</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0.20%</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 (investment income - (management fee + other expenses)) = 2.10%</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Incentive fee = 100.00% × Pre-Incentive Fee Net Investment Income (subject to ‘‘catch-up’’)</w:t>
      </w:r>
      <w:r>
        <w:rPr>
          <w:rFonts w:ascii="Arial" w:cs="Arial" w:eastAsia="Arial" w:hAnsi="Arial"/>
          <w:sz w:val="29"/>
          <w:szCs w:val="29"/>
          <w:color w:val="auto"/>
          <w:vertAlign w:val="superscript"/>
        </w:rPr>
        <w:t>(4)</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=100.00% × (2.10% - 1.75%)</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0.35%</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Cumulative incentive compensation accrued and/or paid since July 1, 2014 = $9,000,000</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20.0% of cumulative net increase in net assets resulting from operations since July 1, 2014 = $8,000,000</w:t>
      </w:r>
    </w:p>
    <w:p>
      <w:pPr>
        <w:spacing w:after="0" w:line="217" w:lineRule="exact"/>
        <w:rPr>
          <w:sz w:val="20"/>
          <w:szCs w:val="20"/>
          <w:color w:val="auto"/>
        </w:rPr>
      </w:pPr>
    </w:p>
    <w:p>
      <w:pPr>
        <w:jc w:val="both"/>
        <w:ind w:left="260"/>
        <w:spacing w:after="0" w:line="255" w:lineRule="auto"/>
        <w:rPr>
          <w:sz w:val="20"/>
          <w:szCs w:val="20"/>
          <w:color w:val="auto"/>
        </w:rPr>
      </w:pPr>
      <w:r>
        <w:rPr>
          <w:rFonts w:ascii="Arial" w:cs="Arial" w:eastAsia="Arial" w:hAnsi="Arial"/>
          <w:sz w:val="18"/>
          <w:szCs w:val="18"/>
          <w:color w:val="auto"/>
        </w:rPr>
        <w:t>Although our Pre-Incentive Fee Net Investment Income exceeds the hurdle rate of 1.75%, no incentive fee is payable because 20.0% of the cumulative net increase in net assets resulting from operations since July 1, 2014 did not exceed the cumulative income and capital gains incentive fees accrued and/or paid since July 1, 2014.</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Alternative 2</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distributions, fees, etc.) = 2.80%</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 1.75%</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 0.50%</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0.20%</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 (investment income - (management fee + other expenses)) = 2.10%</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Incentive fee = 100.00% × Pre-Incentive Fee Net Investment Income (subject to ‘‘catch-up’’)</w:t>
      </w:r>
      <w:r>
        <w:rPr>
          <w:rFonts w:ascii="Arial" w:cs="Arial" w:eastAsia="Arial" w:hAnsi="Arial"/>
          <w:sz w:val="29"/>
          <w:szCs w:val="29"/>
          <w:color w:val="auto"/>
          <w:vertAlign w:val="superscript"/>
        </w:rPr>
        <w:t>(4)</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=100.00% × (2.10% - 1.75%)</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0.35%</w:t>
      </w:r>
    </w:p>
    <w:p>
      <w:pPr>
        <w:spacing w:after="0" w:line="217" w:lineRule="exact"/>
        <w:rPr>
          <w:sz w:val="20"/>
          <w:szCs w:val="20"/>
          <w:color w:val="auto"/>
        </w:rPr>
      </w:pPr>
    </w:p>
    <w:p>
      <w:pPr>
        <w:jc w:val="both"/>
        <w:ind w:left="260"/>
        <w:spacing w:after="0" w:line="265" w:lineRule="auto"/>
        <w:rPr>
          <w:sz w:val="20"/>
          <w:szCs w:val="20"/>
          <w:color w:val="auto"/>
        </w:rPr>
      </w:pPr>
      <w:r>
        <w:rPr>
          <w:rFonts w:ascii="Arial" w:cs="Arial" w:eastAsia="Arial" w:hAnsi="Arial"/>
          <w:sz w:val="18"/>
          <w:szCs w:val="18"/>
          <w:color w:val="auto"/>
        </w:rPr>
        <w:t>Pre-Incentive Fee Net Investment Income exceeds the hurdle rate, but does not fully satisfy the ‘‘catch-up’’ provision; therefore, the income related portion of the incentive fee is 0.35%.</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Cumulative incentive compensation accrued and/or paid since July 1, 2014 = $9,000,000</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20.0% of cumulative net increase in net assets resulting from operations since July 1, 2014 = $10,000,000</w:t>
      </w:r>
    </w:p>
    <w:p>
      <w:pPr>
        <w:spacing w:after="0" w:line="217" w:lineRule="exact"/>
        <w:rPr>
          <w:sz w:val="20"/>
          <w:szCs w:val="20"/>
          <w:color w:val="auto"/>
        </w:rPr>
      </w:pPr>
    </w:p>
    <w:p>
      <w:pPr>
        <w:jc w:val="both"/>
        <w:ind w:left="260"/>
        <w:spacing w:after="0" w:line="250" w:lineRule="auto"/>
        <w:rPr>
          <w:sz w:val="20"/>
          <w:szCs w:val="20"/>
          <w:color w:val="auto"/>
        </w:rPr>
      </w:pPr>
      <w:r>
        <w:rPr>
          <w:rFonts w:ascii="Arial" w:cs="Arial" w:eastAsia="Arial" w:hAnsi="Arial"/>
          <w:sz w:val="18"/>
          <w:szCs w:val="18"/>
          <w:color w:val="auto"/>
        </w:rPr>
        <w:t>Because our Pre-Incentive Fee Net Investment Income exceeds the hurdle rate of 1.75% and because 20.0% of the cumulative net increase in net assets resulting from operations since July 1, 2014 exceeds the cumulative income and capital gains incentive fees accrued and/or paid since July 1, 2014, an incentive fee would be payable, as shown in Alternative 3 of Example 1 above.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06" w:lineRule="exact"/>
        <w:rPr>
          <w:sz w:val="20"/>
          <w:szCs w:val="20"/>
          <w:color w:val="auto"/>
        </w:rPr>
      </w:pPr>
    </w:p>
    <w:p>
      <w:pPr>
        <w:ind w:left="580" w:hanging="316"/>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7.00% annualized hurdle rate.</w:t>
      </w:r>
    </w:p>
    <w:p>
      <w:pPr>
        <w:spacing w:after="0" w:line="217" w:lineRule="exact"/>
        <w:rPr>
          <w:rFonts w:ascii="Arial" w:cs="Arial" w:eastAsia="Arial" w:hAnsi="Arial"/>
          <w:sz w:val="18"/>
          <w:szCs w:val="18"/>
          <w:color w:val="auto"/>
        </w:rPr>
      </w:pPr>
    </w:p>
    <w:p>
      <w:pPr>
        <w:ind w:left="580" w:hanging="316"/>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2.00% annualized base management fee.</w:t>
      </w:r>
    </w:p>
    <w:p>
      <w:pPr>
        <w:spacing w:after="0" w:line="217" w:lineRule="exact"/>
        <w:rPr>
          <w:rFonts w:ascii="Arial" w:cs="Arial" w:eastAsia="Arial" w:hAnsi="Arial"/>
          <w:sz w:val="18"/>
          <w:szCs w:val="18"/>
          <w:color w:val="auto"/>
        </w:rPr>
      </w:pPr>
    </w:p>
    <w:p>
      <w:pPr>
        <w:ind w:left="580" w:hanging="316"/>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17" w:lineRule="exact"/>
        <w:rPr>
          <w:rFonts w:ascii="Arial" w:cs="Arial" w:eastAsia="Arial" w:hAnsi="Arial"/>
          <w:sz w:val="18"/>
          <w:szCs w:val="18"/>
          <w:color w:val="auto"/>
        </w:rPr>
      </w:pPr>
    </w:p>
    <w:p>
      <w:pPr>
        <w:ind w:left="580" w:hanging="316"/>
        <w:spacing w:after="0" w:line="265"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“catch-up” provision is intended to provide our Advisor with an incentive fee of 20.00% on all Pre-Incentive Fee Net Investment Income as if a hurdle rate did not apply when our Pre-Incentive Fee Net Investment Income exceeds 2.1875% in any fiscal quarter.</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11430</wp:posOffset>
            </wp:positionV>
            <wp:extent cx="7249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360"/>
          </w:cols>
          <w:pgMar w:left="300" w:top="896" w:right="239" w:bottom="0" w:gutter="0" w:footer="0" w:header="0"/>
        </w:sectPr>
      </w:pPr>
    </w:p>
    <w:bookmarkStart w:id="16" w:name="page17"/>
    <w:bookmarkEnd w:id="16"/>
    <w:p>
      <w:pPr>
        <w:ind w:left="260"/>
        <w:spacing w:after="0"/>
        <w:rPr>
          <w:sz w:val="20"/>
          <w:szCs w:val="20"/>
          <w:color w:val="auto"/>
        </w:rPr>
      </w:pPr>
      <w:r>
        <w:rPr>
          <w:rFonts w:ascii="Arial" w:cs="Arial" w:eastAsia="Arial" w:hAnsi="Arial"/>
          <w:sz w:val="18"/>
          <w:szCs w:val="18"/>
          <w:i w:val="1"/>
          <w:iCs w:val="1"/>
          <w:u w:val="single" w:color="auto"/>
          <w:color w:val="auto"/>
        </w:rPr>
        <w:t>Example 3: Capital gains portion of incentive fee</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Alternative 1</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Year 1: $20 million investment made in Company A, or Investment A, and $30 million investment made in Company B, or Investment B</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Year 2: Investment A sold for $50 million and fair market value, or FMV, of Investment B determined to be $32 million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Year 3: FMV of Investment B determined to be $25 million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Year 4: Investment B sold for $31 million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Year 1: None (No sales transaction)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Year 2: Capital gains incentive fee of $6 million ($30 million realized capital gains on sale of Investment A multiplied by 20%)</w:t>
      </w:r>
    </w:p>
    <w:p>
      <w:pPr>
        <w:spacing w:after="0" w:line="217" w:lineRule="exact"/>
        <w:rPr>
          <w:sz w:val="20"/>
          <w:szCs w:val="20"/>
          <w:color w:val="auto"/>
        </w:rPr>
      </w:pPr>
    </w:p>
    <w:p>
      <w:pPr>
        <w:ind w:left="260"/>
        <w:spacing w:after="0" w:line="265" w:lineRule="auto"/>
        <w:rPr>
          <w:sz w:val="20"/>
          <w:szCs w:val="20"/>
          <w:color w:val="auto"/>
        </w:rPr>
      </w:pPr>
      <w:r>
        <w:rPr>
          <w:rFonts w:ascii="Arial" w:cs="Arial" w:eastAsia="Arial" w:hAnsi="Arial"/>
          <w:sz w:val="18"/>
          <w:szCs w:val="18"/>
          <w:color w:val="auto"/>
        </w:rPr>
        <w:t>Year 3: None; $5 million ((20% multiplied by ($30 million cumulative capital gains less $5 million cumulative capital depreciation)) less $6 million (previous capital gains fee paid in Year 2))</w:t>
      </w:r>
    </w:p>
    <w:p>
      <w:pPr>
        <w:spacing w:after="0" w:line="179" w:lineRule="exact"/>
        <w:rPr>
          <w:sz w:val="20"/>
          <w:szCs w:val="20"/>
          <w:color w:val="auto"/>
        </w:rPr>
      </w:pPr>
    </w:p>
    <w:p>
      <w:pPr>
        <w:ind w:left="260"/>
        <w:spacing w:after="0" w:line="265" w:lineRule="auto"/>
        <w:rPr>
          <w:sz w:val="20"/>
          <w:szCs w:val="20"/>
          <w:color w:val="auto"/>
        </w:rPr>
      </w:pPr>
      <w:r>
        <w:rPr>
          <w:rFonts w:ascii="Arial" w:cs="Arial" w:eastAsia="Arial" w:hAnsi="Arial"/>
          <w:sz w:val="18"/>
          <w:szCs w:val="18"/>
          <w:color w:val="auto"/>
        </w:rPr>
        <w:t>Year 4: Capital gains incentive fee of $200,000; $6.2 million (($31 million cumulative realized capital gains multiplied by 20%) less $6 million (capital gains incentive fee taken in Year 2))</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Alternative 2</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17" w:lineRule="exact"/>
        <w:rPr>
          <w:sz w:val="20"/>
          <w:szCs w:val="20"/>
          <w:color w:val="auto"/>
        </w:rPr>
      </w:pPr>
    </w:p>
    <w:p>
      <w:pPr>
        <w:ind w:left="260"/>
        <w:spacing w:after="0" w:line="265" w:lineRule="auto"/>
        <w:rPr>
          <w:sz w:val="20"/>
          <w:szCs w:val="20"/>
          <w:color w:val="auto"/>
        </w:rPr>
      </w:pPr>
      <w:r>
        <w:rPr>
          <w:rFonts w:ascii="Arial" w:cs="Arial" w:eastAsia="Arial" w:hAnsi="Arial"/>
          <w:sz w:val="18"/>
          <w:szCs w:val="18"/>
          <w:color w:val="auto"/>
        </w:rPr>
        <w:t>Year 1: $20 million investment made in Company A, or Investment A, $30 million investment made in Company B, or Investment B and $25 million investment made in Company C, or Investment C</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Year 2: Investment A sold for $50 million, FMV of Investment B determined to be $25 million and FMV of Investment C determined to be $25 million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Year 4: FMV of Investment B determined to be $35 million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Year 5: Investment B sold for $20 million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capital gains incentive fee, if any, would be:</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Year 1: None (no sales transaction)</w:t>
      </w:r>
    </w:p>
    <w:p>
      <w:pPr>
        <w:spacing w:after="0" w:line="217" w:lineRule="exact"/>
        <w:rPr>
          <w:sz w:val="20"/>
          <w:szCs w:val="20"/>
          <w:color w:val="auto"/>
        </w:rPr>
      </w:pPr>
    </w:p>
    <w:p>
      <w:pPr>
        <w:ind w:left="260"/>
        <w:spacing w:after="0" w:line="265" w:lineRule="auto"/>
        <w:rPr>
          <w:sz w:val="20"/>
          <w:szCs w:val="20"/>
          <w:color w:val="auto"/>
        </w:rPr>
      </w:pPr>
      <w:r>
        <w:rPr>
          <w:rFonts w:ascii="Arial" w:cs="Arial" w:eastAsia="Arial" w:hAnsi="Arial"/>
          <w:sz w:val="18"/>
          <w:szCs w:val="18"/>
          <w:color w:val="auto"/>
        </w:rPr>
        <w:t>Year 2: $5 million capital gains incentive fee (20% multiplied by $25 million ($30 million realized capital gains on Investment A less unrealized capital depreciation on Investment B))</w:t>
      </w:r>
    </w:p>
    <w:p>
      <w:pPr>
        <w:spacing w:after="0" w:line="181" w:lineRule="exact"/>
        <w:rPr>
          <w:sz w:val="20"/>
          <w:szCs w:val="20"/>
          <w:color w:val="auto"/>
        </w:rPr>
      </w:pPr>
    </w:p>
    <w:p>
      <w:pPr>
        <w:ind w:left="260"/>
        <w:spacing w:after="0" w:line="210" w:lineRule="auto"/>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($6.4 million (20% multiplied by $32 million ($35 million cumulative realized capital gains less $3 million unrealized capital depreciation)) less $5 million capital gains incentive fee received in Year 2</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Year 4: None (no sales transaction)</w:t>
      </w:r>
    </w:p>
    <w:p>
      <w:pPr>
        <w:spacing w:after="0" w:line="217" w:lineRule="exact"/>
        <w:rPr>
          <w:sz w:val="20"/>
          <w:szCs w:val="20"/>
          <w:color w:val="auto"/>
        </w:rPr>
      </w:pPr>
    </w:p>
    <w:p>
      <w:pPr>
        <w:ind w:left="260"/>
        <w:spacing w:after="0" w:line="281" w:lineRule="auto"/>
        <w:rPr>
          <w:sz w:val="20"/>
          <w:szCs w:val="20"/>
          <w:color w:val="auto"/>
        </w:rPr>
      </w:pPr>
      <w:r>
        <w:rPr>
          <w:rFonts w:ascii="Arial" w:cs="Arial" w:eastAsia="Arial" w:hAnsi="Arial"/>
          <w:sz w:val="18"/>
          <w:szCs w:val="18"/>
          <w:color w:val="auto"/>
        </w:rPr>
        <w:t>Year 5: None ($5 million (20% multiplied by $25 million (cumulative realized capital gains of $35 million less realized capital losses of $10 million)) less $6.4 million cumulative capital gains incentive fee paid in Year 2 and Year 3</w:t>
      </w:r>
      <w:r>
        <w:rPr>
          <w:rFonts w:ascii="Arial" w:cs="Arial" w:eastAsia="Arial" w:hAnsi="Arial"/>
          <w:sz w:val="29"/>
          <w:szCs w:val="29"/>
          <w:color w:val="auto"/>
          <w:vertAlign w:val="superscript"/>
        </w:rPr>
        <w:t>(2)</w:t>
      </w:r>
    </w:p>
    <w:p>
      <w:pPr>
        <w:spacing w:after="0" w:line="43" w:lineRule="exact"/>
        <w:rPr>
          <w:sz w:val="20"/>
          <w:szCs w:val="20"/>
          <w:color w:val="auto"/>
        </w:rPr>
      </w:pPr>
    </w:p>
    <w:p>
      <w:pPr>
        <w:ind w:left="260" w:right="20"/>
        <w:spacing w:after="0" w:line="252" w:lineRule="auto"/>
        <w:rPr>
          <w:sz w:val="20"/>
          <w:szCs w:val="20"/>
          <w:color w:val="auto"/>
        </w:rPr>
      </w:pPr>
      <w:r>
        <w:rPr>
          <w:rFonts w:ascii="Arial" w:cs="Arial" w:eastAsia="Arial" w:hAnsi="Arial"/>
          <w:sz w:val="18"/>
          <w:szCs w:val="18"/>
          <w:color w:val="auto"/>
        </w:rPr>
        <w:t>The hypothetical amounts of returns shown are based on a percentage of our total net assets and assume no leverage. There is no guarantee that positive returns will be realized and actual returns may vary from those shown in this example.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06" w:lineRule="exact"/>
        <w:rPr>
          <w:sz w:val="20"/>
          <w:szCs w:val="20"/>
          <w:color w:val="auto"/>
        </w:rPr>
      </w:pPr>
    </w:p>
    <w:p>
      <w:pPr>
        <w:ind w:left="820" w:right="220" w:hanging="476"/>
        <w:spacing w:after="0" w:line="255"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illustrated in Year 3 of Alternative 1 above, if the Investment Management Agreement were terminated on a date other than our fiscal year end of any year, we may have paid aggregate capital gains incentive fees that are more than the amount of such fees that would be payable if the Investment Management Agreement were terminated on the fiscal year end of such year.</w:t>
      </w:r>
    </w:p>
    <w:p>
      <w:pPr>
        <w:spacing w:after="0" w:line="188" w:lineRule="exact"/>
        <w:rPr>
          <w:rFonts w:ascii="Arial" w:cs="Arial" w:eastAsia="Arial" w:hAnsi="Arial"/>
          <w:sz w:val="18"/>
          <w:szCs w:val="18"/>
          <w:color w:val="auto"/>
        </w:rPr>
      </w:pPr>
    </w:p>
    <w:p>
      <w:pPr>
        <w:jc w:val="both"/>
        <w:ind w:left="820" w:right="480" w:hanging="476"/>
        <w:spacing w:after="0" w:line="366" w:lineRule="auto"/>
        <w:tabs>
          <w:tab w:leader="none" w:pos="8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As noted above, it is possible that the cumulative aggregate capital gains fee received by the Advisor ($6.4 million) is effectively greater than $5 million (20.00% of cumulative aggregate realized capital gains less net realized capital losses or net unrealized depreciation ($25 million)).</w:t>
      </w: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11430</wp:posOffset>
            </wp:positionV>
            <wp:extent cx="7249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360"/>
          </w:cols>
          <w:pgMar w:left="300" w:top="896" w:right="239" w:bottom="665"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Payment of our expenses</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All investment professionals and staff of our Advisor, when and to the extent engaged in providing investment advisory and management services, and the compensation and routine overhead expenses of its personnel allocable to such services, are provided and paid for by our Advisor. We bear all other costs and expenses of our operations and transactions, including those relating to:</w:t>
      </w:r>
    </w:p>
    <w:p>
      <w:pPr>
        <w:spacing w:after="0" w:line="189"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organization;</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calculating our net asset value, or NAV (including the cost and expenses of any independent valuation firms);</w:t>
      </w:r>
    </w:p>
    <w:p>
      <w:pPr>
        <w:spacing w:after="0" w:line="217" w:lineRule="exact"/>
        <w:rPr>
          <w:rFonts w:ascii="Arial" w:cs="Arial" w:eastAsia="Arial" w:hAnsi="Arial"/>
          <w:sz w:val="18"/>
          <w:szCs w:val="18"/>
          <w:color w:val="auto"/>
        </w:rPr>
      </w:pPr>
    </w:p>
    <w:p>
      <w:pPr>
        <w:ind w:left="640" w:hanging="316"/>
        <w:spacing w:after="0" w:line="265"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including travel expense, incurred by our Advisor or payable to third parties performing due diligence on prospective portfolio companies, monitoring our investments and, if necessary, enforcing our rights;</w:t>
      </w:r>
    </w:p>
    <w:p>
      <w:pPr>
        <w:spacing w:after="0" w:line="179"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all future offerings and repurchases of our common stock and other securities, if any;</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base management fee and any incentive fee;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distributions on our shares;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allocated costs incurred by our Advisor as our Administrator in providing managerial assistance to those portfolio companies that request it;</w:t>
      </w:r>
    </w:p>
    <w:p>
      <w:pPr>
        <w:spacing w:after="0" w:line="228" w:lineRule="exact"/>
        <w:rPr>
          <w:rFonts w:ascii="Arial" w:cs="Arial" w:eastAsia="Arial" w:hAnsi="Arial"/>
          <w:sz w:val="17"/>
          <w:szCs w:val="17"/>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investments;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registration fees;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listing fees;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with the SEC;</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any reports, proxy statements or other notices to our stockholders, including printing costs;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fidelity bond;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and legal costs; and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8" w:name="page19"/>
    <w:bookmarkEnd w:id="18"/>
    <w:p>
      <w:pPr>
        <w:jc w:val="both"/>
        <w:ind w:left="640" w:hanging="316"/>
        <w:spacing w:after="0" w:line="330" w:lineRule="auto"/>
        <w:tabs>
          <w:tab w:leader="none" w:pos="6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all other expenses incurred by us or the Administrator in connection with administering our business, such as the allocable portion of overhead under the Administration Agreement, including rent, the fees and expenses associated with performing compliance functions and our allocable portion of the costs of compensation and related expenses of our Chief Financial Officer and Chief Compliance Officer and their respective staffs.</w:t>
      </w:r>
    </w:p>
    <w:p>
      <w:pPr>
        <w:spacing w:after="0" w:line="13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From time to time, our Advisor may pay amounts owed by us to third party providers of goods or services. We subsequently reimburse our Advisor for such amounts paid on our behalf. Generally, our expenses are expensed as incurred in accordance with U.S. generally accepted accounting principles, or GAAP. To the extent we incur costs that should be capitalized and amortized into expense we also do so in accordance with GAAP, which may include amortizing such amount on a straight line basis over the life of the asset or the life of the services or product being performed or provided.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Investment Management Agreement provides that our Advisor and its officers, managers, partners, agents, employees, controlling persons and any other person or entity affiliated with our Advisor are not liable to us for any act or omission by it in the supervision or management of our investment activities or for any loss sustained by us except for acts or omissions constituting willful misfeasance, bad faith, gross negligence or reckless disregard of its obligations under the Investment Management Agreement. The Investment Management Agreement also provides, subject to certain conditions, for indemnification by us of our Advisor and its officers, managers, partners, agents, employees, controlling persons and any other person or entity affiliated with our Advisor for liabilities incurred by them in connection with their services to us (including any liabilities associated with an action or suit by or in the right of us or our stockholders), but excluding liabilities for acts or omissions constituting willful misfeasance, bad faith or gross negligence or reckless disregard of their duties under the Investment Management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approval of the Investment Management Agreement</w:t>
      </w:r>
    </w:p>
    <w:p>
      <w:pPr>
        <w:spacing w:after="0" w:line="223"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color w:val="auto"/>
        </w:rPr>
        <w:t>Our Board held an in-person meeting on July 27, 2018 at which it considered and reapproved our Investment Management Agreement for an additional one-year period. In its consideration of the Investment Management Agreement, our Board focused on information it had received relating to (a) the nature, quality and extent of the advisory and other services to be provided to us by our Advisor; (b) comparative data with respect to advisory fees or similar expenses paid by other BDCs with similar investment objectives; (c) our projected expenses and expense ratio compared to BDCs with similar investment objectives; (d) any existing and potential sources of indirect income to our Advisor or the Administrator from their relationships with us and the profitability of those relationships;</w:t>
      </w:r>
    </w:p>
    <w:p>
      <w:pPr>
        <w:spacing w:after="0" w:line="1" w:lineRule="exact"/>
        <w:rPr>
          <w:sz w:val="20"/>
          <w:szCs w:val="20"/>
          <w:color w:val="auto"/>
        </w:rPr>
      </w:pPr>
    </w:p>
    <w:p>
      <w:pPr>
        <w:jc w:val="both"/>
        <w:ind w:firstLine="6"/>
        <w:spacing w:after="0" w:line="247" w:lineRule="auto"/>
        <w:tabs>
          <w:tab w:leader="none" w:pos="2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about the services to be performed and the personnel performing such services under the Investment Management Agreement; (f) the organizational capability and financial condition of our Advisor and its affiliates; (g) our Advisor’s practices regarding the selection and compensation of brokers that may execute our portfolio transactions and the brokers’ provision of brokerage and research services to our Advisor; and (h) the possibility of obtaining similar services from other third party service providers or through an internally managed structure.</w:t>
      </w:r>
    </w:p>
    <w:p>
      <w:pPr>
        <w:spacing w:after="0" w:line="19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Based on the information reviewed and its discussions related thereto, our Board, including a majority of the directors who are not interested persons of us, concluded that the investment management fee rates were reasonable in relation to the services to be provided.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223"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The Investment Management Agreement was reapproved by our Board, and by a majority of our independent directors, on July 27, 2018. Unless terminated earlier as described below, it will continue in effect from year to year thereafter if approved annually by our Board including a majority of our directors who are not interested persons or by the affirmative vote of the holders of a majority of our outstanding voting securities and a majority of our directors who are not interested persons. The Investment Management Agreement will automatically terminate in the event of its assignment. The Investment Management Agreement may be terminated by either party without penalty by delivering notice of termination upon not more than 60 days’ written notice to the other party. See “Item 1A — Risk Factors — Risks related to our business and structure — Our Advisor can resign on 60 days’ notice, and we may not be able to find a suitable replacement within that time, resulting in a disruption in our operations that could adversely affect our business, results of operations or financial condition.”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Administration Agreement</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Administration Agreement was considered and reapproved by our Board, and a majority of our independent directors, on July 27, 2018. Under the Administration Agreement, the Administrator furnishes us with office facilities and equipment, provides us clerical, bookkeeping and record keeping services at such facilities and provides us with other administrative services necessary to conduct our day-to-day operations. We reimburse the Administrator for our allocable portion of overhead and other expenses incurred by the Administrator in performing its obligations under the Administration Agreement, including rent, the fees and expenses associated with performing compliance functions and our allocable portion of the costs of compensation and related expenses of our Chief Financial Officer and Chief Compliance Officer and their respective staffs. The Board reviews the allocation of expenses shared with the Advisor or other clients of the Advisor, if any, on a periodic basis to confirm that the allocations are reasonable and appropriate in light of the provisions of the Investment Management Agreement and Administration Agreement and then-current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2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entered into a license agreement with Horizon Technology Finance, LLC, or HTF, pursuant to which we were granted a non-exclusive, royalty-free right and license to use the service mark “Horizon Technology Finance.” Under this agreement, we have a right to use the “Horizon Technology Finance” service mark for so long as the Investment Management Agreement with our Advisor is in effect. Other than with respect to this limited license, we have no legal right to the “Horizon Technology Finance” service mark.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3"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We have elected to be regulated as a BDC under the 1940 Act and elected to be treated as a RIC under Subchapter M of the Code. As with other companies regulated by the 1940 Act, a BDC must adhere to certain substantive regulatory requirements. The 1940 Act contains prohibitions and restrictions relating to transactions between BDCs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 as defined in the 1940 Act. A majority of the outstanding voting securities of a company is defined under the 1940 Act as the lesser of: (1) 67% or more of such company’s shares present at a meeting if more than 50% of the outstanding shares of such company are present or represented by proxy or (2) more than 50% of the outstanding shares of such company. Our bylaws provide for the calling of a special meeting of stockholders at which such action could be considered upon written notice of not less than ten or more than sixty days before the date of such meeting.</w:t>
      </w:r>
    </w:p>
    <w:p>
      <w:pPr>
        <w:spacing w:after="0" w:line="155"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None of our investment policies are fundamental and any may be changed without stockholder approval.</w:t>
      </w:r>
    </w:p>
    <w:p>
      <w:pPr>
        <w:spacing w:after="0" w:line="15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may also be prohibited under the 1940 Act from knowingly participating in certain transactions with our affiliates without the prior approval of our directors who are not interested persons and, in some cases, prior approval by the SEC. For example, under the 1940 Act, absent receipt of exemptive relief from the SEC, we and our affiliates may be precluded from co-investing in transactions for which terms other than price are negotiated by our affiliates. As a result of one or more of these situations, we may not be able to invest as much as we otherwise would in certain investments or may not be able to liquidate a position as quickly. On November 27, 2017, the SEC granted us, our Advisor and certain of our affiliates an exemptive relief order permitting us to co-invest with certain affiliated funds in negotiated investments, subject to the terms and conditions of the order.</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to be periodically examined by the SEC for compliance with the 1940 Act.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20" w:name="page21"/>
    <w:bookmarkEnd w:id="20"/>
    <w:p>
      <w:pPr>
        <w:jc w:val="both"/>
        <w:ind w:firstLine="318"/>
        <w:spacing w:after="0" w:line="255" w:lineRule="auto"/>
        <w:rPr>
          <w:sz w:val="20"/>
          <w:szCs w:val="20"/>
          <w:color w:val="auto"/>
        </w:rPr>
      </w:pPr>
      <w:r>
        <w:rPr>
          <w:rFonts w:ascii="Arial" w:cs="Arial" w:eastAsia="Arial" w:hAnsi="Arial"/>
          <w:sz w:val="18"/>
          <w:szCs w:val="18"/>
          <w:color w:val="auto"/>
        </w:rPr>
        <w:t>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and our Advisor have adopted and implemented written policies and procedures reasonably designed to prevent violation of the federal securities laws and review these policies and procedures annually for their adequacy and the effectiveness of their implementation. We and our Advisor have designated a chief compliance officer to be responsible for administering the policies and procedures.</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Qualifying assets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189" w:lineRule="exact"/>
        <w:rPr>
          <w:sz w:val="20"/>
          <w:szCs w:val="20"/>
          <w:color w:val="auto"/>
        </w:rPr>
      </w:pPr>
    </w:p>
    <w:p>
      <w:pPr>
        <w:jc w:val="both"/>
        <w:ind w:left="640" w:hanging="316"/>
        <w:spacing w:after="0" w:line="300"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w:t>
      </w:r>
    </w:p>
    <w:p>
      <w:pPr>
        <w:ind w:left="640"/>
        <w:spacing w:after="0"/>
        <w:rPr>
          <w:rFonts w:ascii="Arial" w:cs="Arial" w:eastAsia="Arial" w:hAnsi="Arial"/>
          <w:sz w:val="15"/>
          <w:szCs w:val="15"/>
          <w:color w:val="auto"/>
        </w:rPr>
      </w:pPr>
      <w:r>
        <w:rPr>
          <w:rFonts w:ascii="Arial" w:cs="Arial" w:eastAsia="Arial" w:hAnsi="Arial"/>
          <w:sz w:val="18"/>
          <w:szCs w:val="18"/>
          <w:color w:val="auto"/>
        </w:rPr>
        <w:t>1940 Act as any issuer which:</w:t>
      </w:r>
    </w:p>
    <w:p>
      <w:pPr>
        <w:spacing w:after="0" w:line="205" w:lineRule="exact"/>
        <w:rPr>
          <w:rFonts w:ascii="Arial" w:cs="Arial" w:eastAsia="Arial" w:hAnsi="Arial"/>
          <w:sz w:val="15"/>
          <w:szCs w:val="15"/>
          <w:color w:val="auto"/>
        </w:rPr>
      </w:pPr>
    </w:p>
    <w:p>
      <w:pPr>
        <w:ind w:left="960" w:hanging="318"/>
        <w:spacing w:after="0"/>
        <w:tabs>
          <w:tab w:leader="none" w:pos="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217" w:lineRule="exact"/>
        <w:rPr>
          <w:rFonts w:ascii="Arial" w:cs="Arial" w:eastAsia="Arial" w:hAnsi="Arial"/>
          <w:sz w:val="18"/>
          <w:szCs w:val="18"/>
          <w:color w:val="auto"/>
        </w:rPr>
      </w:pPr>
    </w:p>
    <w:p>
      <w:pPr>
        <w:ind w:left="960" w:hanging="318"/>
        <w:spacing w:after="0" w:line="265" w:lineRule="auto"/>
        <w:tabs>
          <w:tab w:leader="none" w:pos="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179" w:lineRule="exact"/>
        <w:rPr>
          <w:rFonts w:ascii="Arial" w:cs="Arial" w:eastAsia="Arial" w:hAnsi="Arial"/>
          <w:sz w:val="18"/>
          <w:szCs w:val="18"/>
          <w:color w:val="auto"/>
        </w:rPr>
      </w:pPr>
    </w:p>
    <w:p>
      <w:pPr>
        <w:ind w:left="960" w:hanging="318"/>
        <w:spacing w:after="0"/>
        <w:tabs>
          <w:tab w:leader="none" w:pos="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217" w:lineRule="exact"/>
        <w:rPr>
          <w:rFonts w:ascii="Arial" w:cs="Arial" w:eastAsia="Arial" w:hAnsi="Arial"/>
          <w:sz w:val="18"/>
          <w:szCs w:val="18"/>
          <w:color w:val="auto"/>
        </w:rPr>
      </w:pPr>
    </w:p>
    <w:p>
      <w:pPr>
        <w:ind w:left="1280" w:hanging="319"/>
        <w:spacing w:after="0"/>
        <w:tabs>
          <w:tab w:leader="none" w:pos="1280" w:val="left"/>
        </w:tabs>
        <w:numPr>
          <w:ilvl w:val="2"/>
          <w:numId w:val="25"/>
        </w:numPr>
        <w:rPr>
          <w:rFonts w:ascii="Arial" w:cs="Arial" w:eastAsia="Arial" w:hAnsi="Arial"/>
          <w:sz w:val="17"/>
          <w:szCs w:val="17"/>
          <w:color w:val="auto"/>
        </w:rPr>
      </w:pPr>
      <w:r>
        <w:rPr>
          <w:rFonts w:ascii="Arial" w:cs="Arial" w:eastAsia="Arial" w:hAnsi="Arial"/>
          <w:sz w:val="17"/>
          <w:szCs w:val="17"/>
          <w:color w:val="auto"/>
        </w:rPr>
        <w:t>has a market capitalization of less than $250 million or does not have any class of securities listed on a national securities exchange;</w:t>
      </w:r>
    </w:p>
    <w:p>
      <w:pPr>
        <w:spacing w:after="0" w:line="228" w:lineRule="exact"/>
        <w:rPr>
          <w:rFonts w:ascii="Arial" w:cs="Arial" w:eastAsia="Arial" w:hAnsi="Arial"/>
          <w:sz w:val="17"/>
          <w:szCs w:val="17"/>
          <w:color w:val="auto"/>
        </w:rPr>
      </w:pPr>
    </w:p>
    <w:p>
      <w:pPr>
        <w:jc w:val="both"/>
        <w:ind w:left="1280" w:hanging="319"/>
        <w:spacing w:after="0" w:line="255" w:lineRule="auto"/>
        <w:tabs>
          <w:tab w:leader="none" w:pos="12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188" w:lineRule="exact"/>
        <w:rPr>
          <w:rFonts w:ascii="Arial" w:cs="Arial" w:eastAsia="Arial" w:hAnsi="Arial"/>
          <w:sz w:val="18"/>
          <w:szCs w:val="18"/>
          <w:color w:val="auto"/>
        </w:rPr>
      </w:pPr>
    </w:p>
    <w:p>
      <w:pPr>
        <w:ind w:left="1280" w:hanging="319"/>
        <w:spacing w:after="0"/>
        <w:tabs>
          <w:tab w:leader="none" w:pos="1280" w:val="left"/>
        </w:tabs>
        <w:numPr>
          <w:ilvl w:val="2"/>
          <w:numId w:val="25"/>
        </w:numPr>
        <w:rPr>
          <w:rFonts w:ascii="Arial" w:cs="Arial" w:eastAsia="Arial" w:hAnsi="Arial"/>
          <w:sz w:val="17"/>
          <w:szCs w:val="17"/>
          <w:color w:val="auto"/>
        </w:rPr>
      </w:pPr>
      <w:r>
        <w:rPr>
          <w:rFonts w:ascii="Arial" w:cs="Arial" w:eastAsia="Arial" w:hAnsi="Arial"/>
          <w:sz w:val="17"/>
          <w:szCs w:val="17"/>
          <w:color w:val="auto"/>
        </w:rPr>
        <w:t>is a small and solvent company having total assets of not more than $4 million and capital and surplus of not less than $2 million.</w:t>
      </w:r>
    </w:p>
    <w:p>
      <w:pPr>
        <w:spacing w:after="0" w:line="228" w:lineRule="exact"/>
        <w:rPr>
          <w:rFonts w:ascii="Arial" w:cs="Arial" w:eastAsia="Arial" w:hAnsi="Arial"/>
          <w:sz w:val="17"/>
          <w:szCs w:val="17"/>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217" w:lineRule="exact"/>
        <w:rPr>
          <w:rFonts w:ascii="Arial" w:cs="Arial" w:eastAsia="Arial" w:hAnsi="Arial"/>
          <w:sz w:val="18"/>
          <w:szCs w:val="18"/>
          <w:color w:val="auto"/>
        </w:rPr>
      </w:pPr>
    </w:p>
    <w:p>
      <w:pPr>
        <w:jc w:val="both"/>
        <w:ind w:left="640" w:hanging="316"/>
        <w:spacing w:after="0" w:line="330" w:lineRule="auto"/>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37" w:lineRule="exact"/>
        <w:rPr>
          <w:rFonts w:ascii="Arial" w:cs="Arial" w:eastAsia="Arial" w:hAnsi="Arial"/>
          <w:sz w:val="15"/>
          <w:szCs w:val="15"/>
          <w:color w:val="auto"/>
        </w:rPr>
      </w:pPr>
    </w:p>
    <w:p>
      <w:pPr>
        <w:ind w:left="640" w:hanging="316"/>
        <w:spacing w:after="0" w:line="265"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79" w:lineRule="exact"/>
        <w:rPr>
          <w:rFonts w:ascii="Arial" w:cs="Arial" w:eastAsia="Arial" w:hAnsi="Arial"/>
          <w:sz w:val="18"/>
          <w:szCs w:val="18"/>
          <w:color w:val="auto"/>
        </w:rPr>
      </w:pPr>
    </w:p>
    <w:p>
      <w:pPr>
        <w:ind w:left="640" w:hanging="316"/>
        <w:spacing w:after="0" w:line="265"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179"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21" w:name="page22"/>
    <w:bookmarkEnd w:id="21"/>
    <w:p>
      <w:pPr>
        <w:jc w:val="both"/>
        <w:ind w:firstLine="318"/>
        <w:spacing w:after="0" w:line="265" w:lineRule="auto"/>
        <w:rPr>
          <w:sz w:val="20"/>
          <w:szCs w:val="20"/>
          <w:color w:val="auto"/>
        </w:rPr>
      </w:pPr>
      <w:r>
        <w:rPr>
          <w:rFonts w:ascii="Arial" w:cs="Arial" w:eastAsia="Arial" w:hAnsi="Arial"/>
          <w:sz w:val="18"/>
          <w:szCs w:val="18"/>
          <w:color w:val="auto"/>
        </w:rPr>
        <w:t>The regulations defining qualifying assets may change over time. We may adjust our investment focus as needed to comply with and/or take advantage of any regulatory, legislative, administrative or judicial actions in this area.</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Managerial assistance to portfolio companies</w:t>
      </w:r>
    </w:p>
    <w:p>
      <w:pPr>
        <w:spacing w:after="0" w:line="217"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A BDC must have been organized and have its principal place of business in the United States and must be operated for the purpose of making investments in the types of securities described in “Qualifying assets.” However, in order to count portfolio securities as qualifying assets for the purpose of the 70% test, the BDC must either control the issuer of the securities or must offer to make available to the issuer of the securities (other than small and solvent companies described above) significant managerial assistance.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Issuance of additional shares</w:t>
      </w:r>
    </w:p>
    <w:p>
      <w:pPr>
        <w:spacing w:after="0" w:line="2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are not generally able to issue and sell our common stock at a price below NAV per share. We may, however, issue and sell our common stock, at a price below the current NAV of the common stock, or issue and sell warrants, options or rights to acquire such common stock, at a price below the current NAV of the common stock if our Board determines that such sale is in our best interest and in the best interests of our stockholders, and our stockholders have approved our policy and practice of making such sales within the preceding 12 months. In any such case, the price at which our securities are to be issued and sold may not be less than a price which, in the determination of our Board, closely approximates the market value of such securities. We may seek approval from our stockholders to offer shares of our common stock below its NAV in the future.</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1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invest in highly rated commercial paper, U.S. Government agency notes, U.S. Treasury bills or in repurchase agreements relating to such securities that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subject to certain exceptions, if more than 25% of our total assets constitute repurchase agreements from a single counterparty, we generally would not meet the diversification tests in order to qualify as a RIC for federal income tax purposes. Thus, we do not intend to enter into repurchase agreements with a single counterparty in excess of this limit. Our Advisor monitors the creditworthiness of the counterparties with which we enter into repurchase agreement transactions.</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Senior securities; derivative securities</w:t>
      </w:r>
    </w:p>
    <w:p>
      <w:pPr>
        <w:spacing w:after="0" w:line="21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are permitted, under specified conditions, to issue multiple classes of indebtedness and one class of stock senior to our common stock if our asset coverage, as defined in the 1940 Act, is at least equal to 150% immediately after each such issuance. In addition, while any senior securities are outstanding, we must make provisions to prohibit any distribution to our stockholders or the repurchase of such securities or shares unless we meet the applicable asset coverage requirements at the time of the distribution or repurchase. We may also borrow amounts up to 5% of the value of our total assets for temporary purposes without regard to asset coverage. For a discussion of the risks associated with leverage, see “Item 1A — Risk Factors — Risks related to our business and structure — We borrow money, which magnifies the potential for gain or loss on amounts invested and may increase the risk of investing in us.”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1940 Act also limits the amount of warrants, options and rights to common stock that we may issue and the terms of such securities.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22" w:name="page23"/>
    <w:bookmarkEnd w:id="22"/>
    <w:p>
      <w:pPr>
        <w:ind w:left="140"/>
        <w:spacing w:after="0"/>
        <w:rPr>
          <w:sz w:val="20"/>
          <w:szCs w:val="20"/>
          <w:color w:val="auto"/>
        </w:rPr>
      </w:pPr>
      <w:r>
        <w:rPr>
          <w:rFonts w:ascii="Arial" w:cs="Arial" w:eastAsia="Arial" w:hAnsi="Arial"/>
          <w:sz w:val="18"/>
          <w:szCs w:val="18"/>
          <w:b w:val="1"/>
          <w:bCs w:val="1"/>
          <w:i w:val="1"/>
          <w:iCs w:val="1"/>
          <w:color w:val="auto"/>
        </w:rPr>
        <w:t>Code of ethics</w:t>
      </w:r>
    </w:p>
    <w:p>
      <w:pPr>
        <w:spacing w:after="0" w:line="21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We and our Advisor have each adopted a code of ethics pursuant to Rule 17j-1 under the 1940 Act and Rule 204A-1 under the Investment Advisers Act of 1940, as amended, or the Advisers Act, respectively,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relevant code of ethics’ requirements. Each code of ethics is attached as an exhibit to our Annual Report on Form10-K (File No. 814-00802 filed with the SEC on March 7, 2017 as Exhibit 14.1), which is available on the SEC’s Internet site at www.sec.gov. You may also obtain copies of the code of ethics, after paying a duplicating fee, by electronic request at the following e-mail address: </w:t>
      </w:r>
      <w:r>
        <w:rPr>
          <w:rFonts w:ascii="Arial" w:cs="Arial" w:eastAsia="Arial" w:hAnsi="Arial"/>
          <w:sz w:val="15"/>
          <w:szCs w:val="15"/>
          <w:i w:val="1"/>
          <w:iCs w:val="1"/>
          <w:color w:val="auto"/>
        </w:rPr>
        <w:t>publicinfo@sec.gov</w:t>
      </w:r>
      <w:r>
        <w:rPr>
          <w:rFonts w:ascii="Arial" w:cs="Arial" w:eastAsia="Arial" w:hAnsi="Arial"/>
          <w:sz w:val="15"/>
          <w:szCs w:val="15"/>
          <w:color w:val="auto"/>
        </w:rPr>
        <w:t>.</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217" w:lineRule="exact"/>
        <w:rPr>
          <w:sz w:val="20"/>
          <w:szCs w:val="20"/>
          <w:color w:val="auto"/>
        </w:rPr>
      </w:pPr>
    </w:p>
    <w:p>
      <w:pPr>
        <w:jc w:val="both"/>
        <w:ind w:right="20" w:firstLine="318"/>
        <w:spacing w:after="0" w:line="265" w:lineRule="auto"/>
        <w:rPr>
          <w:sz w:val="20"/>
          <w:szCs w:val="20"/>
          <w:color w:val="auto"/>
        </w:rPr>
      </w:pPr>
      <w:r>
        <w:rPr>
          <w:rFonts w:ascii="Arial" w:cs="Arial" w:eastAsia="Arial" w:hAnsi="Arial"/>
          <w:sz w:val="18"/>
          <w:szCs w:val="18"/>
          <w:color w:val="auto"/>
        </w:rPr>
        <w:t>We have delegated our proxy voting responsibility to our Advisor. The proxy voting policies and procedures of our Advisor are set forth below. The guidelines are reviewed periodically by our Advisor and our independent directors and, accordingly, are subject to change.</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Introduction</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Advisor is registered with the SEC as an investment adviser under the Advisers Act. As an investment adviser registered under the Advisers Act, our Advisor has fiduciary duties to us. As part of this duty, our Advisor recognizes that it must vote client securities in a timely manner free of conflicts of interest and in our best interests and the best interests of our stockholders. Our Advisor’s proxy voting policies and procedures have been formulated to ensure decision-making is consistent with these fiduciary duties.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policies and procedures for voting proxies are intended to comply with Section 206 of, and Rule 206(4)-6 under, the Advisers Act.</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Proxy policies</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Advisor votes proxies relating to our portfolio securities in what our Advisor perceives to be the best interest of our stockholders. Our Advisor reviews on a case-by-case basis each proposal submitted to a stockholder vote to determine its effect on the portfolio securities held by us. Although our Advisor generally votes against proposals that may have a negative effect on our portfolio securities, our Advisor may vote for such a proposal if there exist compelling long-term reasons to do so.</w:t>
      </w:r>
    </w:p>
    <w:p>
      <w:pPr>
        <w:spacing w:after="0" w:line="19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Advisor’s proxy voting decisions are made by those senior officers who are responsible for monitoring each of our investments. To ensure that a vote is not the product of a conflict of interest, our Advisor requires that (1) anyone involved in the decision-making process disclose to our Chief Compliance Officer any potential conflict that he or she is aware of and any contact that he or she has had with any interested party regarding a proxy vote and (2) employees involved in the decision-making process or vote administration are prohibited from revealing how we intend to vote on a proposal in order to reduce any attempted influence from interested parties.</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Proxy voting records</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Chief Compliance Officer, Horizon Technology Finance Corporation, 312 Farmington Avenue, Farmington, Connecticut 06032 or by calling (860) 676-8654.</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Sarbanes-Oxley Act of 2002</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Sarbanes-Oxley Act of 2002, as amended, or the Sarbanes-Oxley Act, imposes a wide variety of regulatory requirements on publicly held companies and their insiders. Many of these requirements affect us. For example:</w:t>
      </w:r>
    </w:p>
    <w:p>
      <w:pPr>
        <w:spacing w:after="0" w:line="179" w:lineRule="exact"/>
        <w:rPr>
          <w:sz w:val="20"/>
          <w:szCs w:val="20"/>
          <w:color w:val="auto"/>
        </w:rPr>
      </w:pPr>
    </w:p>
    <w:p>
      <w:pPr>
        <w:ind w:left="640" w:hanging="316"/>
        <w:spacing w:after="0" w:line="265"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pursuant to Rule 13a-14 under the Securities Exchange Act of 1934, as amended, or the Exchange Act, our principal executive officer and principal financial officer must certify the accuracy of the financial statements contained in our periodic reports;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23" w:name="page24"/>
    <w:bookmarkEnd w:id="23"/>
    <w:p>
      <w:pPr>
        <w:ind w:left="640" w:hanging="316"/>
        <w:spacing w:after="0" w:line="265"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pursuant to Item 307 of Regulation S-K under the Securities Act, our periodic reports must disclose our conclusions about the effectiveness of our disclosure controls and procedures;</w:t>
      </w:r>
    </w:p>
    <w:p>
      <w:pPr>
        <w:spacing w:after="0" w:line="179" w:lineRule="exact"/>
        <w:rPr>
          <w:rFonts w:ascii="Arial" w:cs="Arial" w:eastAsia="Arial" w:hAnsi="Arial"/>
          <w:sz w:val="18"/>
          <w:szCs w:val="18"/>
          <w:color w:val="auto"/>
        </w:rPr>
      </w:pPr>
    </w:p>
    <w:p>
      <w:pPr>
        <w:ind w:left="640" w:right="20" w:hanging="316"/>
        <w:spacing w:after="0" w:line="265"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pursuant to Rule 13a-15 under the Exchange Act, our management must prepare an annual report regarding its assessment of our internal control over financial reporting, which must be audited by our independent registered public accounting firm; and</w:t>
      </w:r>
    </w:p>
    <w:p>
      <w:pPr>
        <w:spacing w:after="0" w:line="179" w:lineRule="exact"/>
        <w:rPr>
          <w:rFonts w:ascii="Arial" w:cs="Arial" w:eastAsia="Arial" w:hAnsi="Arial"/>
          <w:sz w:val="18"/>
          <w:szCs w:val="18"/>
          <w:color w:val="auto"/>
        </w:rPr>
      </w:pPr>
    </w:p>
    <w:p>
      <w:pPr>
        <w:jc w:val="both"/>
        <w:ind w:left="640" w:hanging="316"/>
        <w:spacing w:after="0" w:line="330" w:lineRule="auto"/>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pursuant to Item 308 of Regulation S-K under the Securities Act and Rule 13a-15 under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under the Sarbanes-Oxley Act and intend to take actions necessary to ensure that we are in compliance therewith.</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Nasdaq corporate governance regulations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Nasdaq has adopted corporate governance regulations with which listed companies must comply. We intend to be in compliance with these corporate governance listing standards. We intend to monitor our compliance with all future listing standards and to take all necessary actions to ensure that we are in compliance therewith.</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Privacy principles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committed to maintaining the privacy of stockholders and to safeguarding our non-public personal information. The following information is provided to help you understand what personal information we collect, how we protect that information and why, in certain cases, we may share information with select other parties.</w:t>
      </w:r>
    </w:p>
    <w:p>
      <w:pPr>
        <w:spacing w:after="0" w:line="18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except as permitted by law or as is necessary in order to service stockholder accounts (for example, to a transfer agent or third party administrator).</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restrict access to nonpublic personal information about our stockholders to our Advisor’s employees with a legitimate business need for the information.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We maintain physical, electronic and procedural safeguards designed to protect the nonpublic personal information of our stockholders.</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Election to be taxed as a RIC</w:t>
      </w:r>
    </w:p>
    <w:p>
      <w:pPr>
        <w:spacing w:after="0" w:line="21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have elected to be subject to tax, and intend to qualify annually to maintain our election to be subject to tax, as a RIC under Subchapter M of the Code. To maintain our RIC status, we must, among other requirements, meet certain source-of-income and quarterly asset diversification requirements (as described below). We also must distribute dividends each tax year of an amount generally at least equal to 90% of the sum of our ordinary income and our realized net short-term capital gains (i.e., net short-term capital gains in excess of net long term losses), or investment company taxable income, if any, out of the assets legally available for distribution, which we refer to as the “Annual Distribution Requirement.” Although not required for us to maintain our RIC tax status, in order to preclude the imposition of a 4% nondeductible federal excise tax imposed on RICs, we are required to distribute dividends in respect of each calendar year of an amount generally at least equal to the sum of (1) 98% of our ordinary income (taking into account certain deferrals and elections) for the calendar year, (2) 98.2% of the excess of our capital gains over our capital losses, or capital gain net income (adjusted for certain ordinary losses) for the one-year period ending on October 31 of the calendar year and (3) any ordinary income or net capital gains for preceding years that was not distributed during such years and on which we previously did not incur any U.S. federal corporate income tax, or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 In order to qualify as a RIC, we must: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24" w:name="page25"/>
    <w:bookmarkEnd w:id="24"/>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 year;</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meet any applicable securities law requirements, including capital structure requirements;</w:t>
      </w:r>
    </w:p>
    <w:p>
      <w:pPr>
        <w:spacing w:after="0" w:line="21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derive in each tax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Qualifying Income Test; and</w:t>
      </w:r>
    </w:p>
    <w:p>
      <w:pPr>
        <w:spacing w:after="0" w:line="188"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 year:</w:t>
      </w:r>
    </w:p>
    <w:p>
      <w:pPr>
        <w:spacing w:after="0" w:line="217" w:lineRule="exact"/>
        <w:rPr>
          <w:rFonts w:ascii="Arial" w:cs="Arial" w:eastAsia="Arial" w:hAnsi="Arial"/>
          <w:sz w:val="18"/>
          <w:szCs w:val="18"/>
          <w:color w:val="auto"/>
        </w:rPr>
      </w:pPr>
    </w:p>
    <w:p>
      <w:pPr>
        <w:jc w:val="both"/>
        <w:ind w:left="960" w:hanging="318"/>
        <w:spacing w:after="0" w:line="255" w:lineRule="auto"/>
        <w:tabs>
          <w:tab w:leader="none" w:pos="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188" w:lineRule="exact"/>
        <w:rPr>
          <w:rFonts w:ascii="Arial" w:cs="Arial" w:eastAsia="Arial" w:hAnsi="Arial"/>
          <w:sz w:val="18"/>
          <w:szCs w:val="18"/>
          <w:color w:val="auto"/>
        </w:rPr>
      </w:pPr>
    </w:p>
    <w:p>
      <w:pPr>
        <w:jc w:val="both"/>
        <w:ind w:left="960" w:hanging="318"/>
        <w:spacing w:after="0" w:line="277" w:lineRule="auto"/>
        <w:tabs>
          <w:tab w:leader="none" w:pos="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or the Diversification Tests.</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Taxation as a RIC</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If we qualify as a RIC, and satisfy the Annual Distribution Requirement, then we will not be subject to entity-level income taxes on the portion of our investment company taxable income as well as any net capital gain (i.e., realized net long-term capital gains in excess of realized net short-term capital losses) we distribute as dividends to stockholders. We may retain for investment all or a portion of our net capital gain. However, if we retain any investment company taxable income or net capital gains, and satisfy the Annual Distribution Requirement, we will be subject to entity-level taxation at regular corporate rates on any amounts retained. If we fail to qualify as a RIC for a period greater than two consecutive tax years, to qualify as a RIC in a subsequent tax year, we may be subject to regular corporate rates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 year) that we elect to recognize on requalification or when recognized over the next five tax years.</w:t>
      </w:r>
    </w:p>
    <w:p>
      <w:pPr>
        <w:spacing w:after="0" w:line="18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may be required to recognize taxable income in circumstances in which we do not receive cash. For example, if we hold debt securities that are treated under applicable tax rules as having original issue discount (such as debt instruments with PIK interest or, in certain cases, increasing interest rates or issued with warrants), we must include in income each tax year a portion of the original issue discount that accrues over the life of the debt security, regardless of whether cash representing such income is received by us in the same tax year. Because any original issue discount accrued will be included in our investment company taxable income for the tax year of accrual, we may be required to make a distribution to our stockholders in order to satisfy the Annual Distribution Requirement or the Excise Tax Avoidance Requirement, even though we will not have received any corresponding cash amount.</w:t>
      </w:r>
    </w:p>
    <w:p>
      <w:pPr>
        <w:spacing w:after="0" w:line="15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79"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Although we do not presently expect to do so, we are authorized to borrow funds and to sell assets in order to satisfy distribution requirements. However, under the 1940 Act, we are generally not permitted to make distributions to our stockholders while our debt obligations and other senior securities are outstanding unless certain “asset coverage” tests are met. Moreover, our ability to dispose of assets to meet our distribution requirements may be limited by</w:t>
      </w:r>
    </w:p>
    <w:p>
      <w:pPr>
        <w:spacing w:after="0" w:line="1" w:lineRule="exact"/>
        <w:rPr>
          <w:sz w:val="20"/>
          <w:szCs w:val="20"/>
          <w:color w:val="auto"/>
        </w:rPr>
      </w:pPr>
    </w:p>
    <w:p>
      <w:pPr>
        <w:jc w:val="both"/>
        <w:ind w:firstLine="6"/>
        <w:spacing w:after="0" w:line="248"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we fail to satisfy the Annual Distribution Requirement or fail to qualify as a RIC in any tax year, assuming we do not qualify for or take advantage of certain remedial provisions,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liability should be substantially reduced or eliminated. See “— Election to be taxed as a RIC” above.</w:t>
      </w:r>
    </w:p>
    <w:p>
      <w:pPr>
        <w:spacing w:after="0" w:line="19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or 20% maximum rate to the extent of our current and accumulated earnings and profits. Subject to certain limitations under the Code, dividends paid by us to certain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Investing in our securities involves a high degree of risk. In addition to the other information contained in this annual report on Form 10-K, you should consider carefully the following information before making an investment in our securities. The risks set out below are not the only risks we face. If any of the following events occur, our business, financial condition and results of operations could be materially and adversely affected. In such case, our NAV per share and the trading price of our common stock could decline, and you may lose part or all of your investment.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key personnel of our Advisor and our Advisor’s ability to hire and retain qualified personnel.</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do not have any employees and are dependent upon the members of our Advisor’s senior management, as well as other key personnel for the identification, evaluation, final selection, structuring, closing and monitoring of our investments. These employees have critical industry experience and relationships that we rely on to implement our business plan to originate Venture Loans in our Target Industries. Our future success depends on the continued service of the senior members of our Advisor’s management team. If our Advisor were to lose the services of any of the senior members of our Advisor’s management team, we may not be able to operate our business as we expect, and our ability to compete could be harmed, either of which could cause our business, results of operations or financial condition to suffer.</w:t>
      </w:r>
    </w:p>
    <w:p>
      <w:pPr>
        <w:spacing w:after="0" w:line="19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if any two of the three of Mr. Pomeroy, our Chief Executive Officer, Mr. Michaud, our President, or Mr. Trolio, our Chief Financial Officer, ceases to be actively involved with us or our Advisor, and is not replaced by an individual satisfactory to Key within 90 days, Key could, absent a waiver or cure, demand repayment of any outstanding obligations under the Key Facility. In such an event, if we do not have sufficient cash to repay our outstanding obligations, we may be required to sell investments which, due to their illiquidity, may be difficult to sell on favorable terms or at all. We may also be unable to make new investments, cover our existing obligations to extend credit or meet other obligations as they come due, which could adversely impact our results of operations.</w:t>
      </w:r>
    </w:p>
    <w:p>
      <w:pPr>
        <w:spacing w:after="0" w:line="19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future success also depends, in part, on our Advisor’s ability to identify, attract and retain sufficient numbers of highly skilled employees. If our Advisor is not successful in identifying, attracting and retaining such employees, we may not be able to operate our business as we expect. In addition, our Advisor may in the future manage investment funds with investment objectives similar to ours thereby diverting the time and attention of its investment professionals that we rely on to implement our business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 may change or be restructured.</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cannot assure you that the Advisor will remain our investment adviser or that we will continue to have access to our Advisor’s investment professionals or its relationships. We would be required to obtain shareholder approval for a new investment management agreement in the event that (1) the Advisor resigns as our investment adviser or (2) a change of control or deemed change of control of the Advisor occurs. We cannot provide assurance that a new investment management agreement or new investment adviser would provide the same or equivalent services on the same or on as favorable of terms as the Investment Management Agreement or the Advisor.</w:t>
      </w:r>
    </w:p>
    <w:p>
      <w:pPr>
        <w:spacing w:after="0" w:line="195"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b w:val="1"/>
          <w:bCs w:val="1"/>
          <w:i w:val="1"/>
          <w:iCs w:val="1"/>
          <w:color w:val="auto"/>
        </w:rPr>
        <w:t>We operate in a highly competitive market for investment opportunities, and if we are not able to compete effectively, our business, results of operations and financial condition may be adversely affected and the value of your investment in us could decline.</w:t>
      </w:r>
    </w:p>
    <w:p>
      <w:pPr>
        <w:spacing w:after="0" w:line="17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compete for investments with a number of investment funds and other BDCs, as well as traditional financial services companies such as commercial banks and other financing sources. Some of our competitors are larger and have greater financial, technical, marketing and other resources than we have. For example, some competitors may have a lower cost of funds and access to funding sources that are not available to us. This may enable these competitors to make commercial loans with interest rates that are comparable to, or lower than, the rates we typically offer. We may lose prospective portfolio companies if we do not match our competitors’ pricing, terms and structure. If we do match our competitors’ pricing, terms or structure, we may experience decreased net interest income and increased risk of credit losses. In addition, some of our competitors may have higher risk tolerances or different risk assessments, which could allow them to consider a wider variety of investments, establish more relationships than us and build their market shares. Furthermore, many of our competitors are not subject to the regulatory restrictions that the 1940 Act imposes on us as a BDC or that the Code imposes on us as a RIC. If we are not able to compete effectively, we may not be able to identify and take advantage of attractive investment opportunities that we identify and may not be able to fully invest our available capital. If this occurs, our business, financial condition and results of operations could be materially adversely affected.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on amounts invested and may increase the risk of investing in us.</w:t>
      </w:r>
    </w:p>
    <w:p>
      <w:pPr>
        <w:spacing w:after="0" w:line="21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Leverage is generally considered a speculative investment technique, and we intend to continue to borrow money as part of our business plan. The use of leverage magnifies the potential for gain or loss on amounts invested and, therefore, increases the risks associated with investing in us. See “Item 7 — Management’s Discussion and Analysis of Financial Condition and Results of Operation — Liquidity and capital resources.” Lenders of senior debt securities have fixed dollar claims on our assets that are superior to the claims of our common stockholders. If the value of our assets increases, then leveraging would cause the NAV attributable to our common stock to increase more sharply than it would have had we not leveraged. However, any decrease in our income would cause net income to decline more sharply than it would have had we not leveraged. This decline could adversely affect our ability to make common stock distribution payments. In addition, because our investments may be illiquid, we may be unable to dispose of them or unable to do so at a favorable price in the event we need to do so, if we are unable to refinance any indebtedness upon maturity, and, as a result, we may suffer losses.</w:t>
      </w:r>
    </w:p>
    <w:p>
      <w:pPr>
        <w:spacing w:after="0" w:line="15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Our ability to service any debt that we incur depends largely on our financial performance and is subject to prevailing economic conditions and competitive pressures. Moreover, as our Advisor’s management fee is payable to our Advisor based on our gross assets less cash and cash equivalents, including those assets acquired through the use of leverage, our Advisor may have a financial incentive to incur leverage which may not be consistent with our stockholders’ interests. As leverage magnifies gains, if any, on our portfolio, as discussed above, our Pre-Incentive Fee Net Investment Income may exceed the quarterly hurdle rate for the incentive fee on income payable. Thus, if we incur additional leverage, the incentive fees payable to the Advisor may increase without any corresponding increase in our performance. Holders of our common stock bear the burden of any increase in our expenses, as a result of leverage, including any increase in the management fee or incentive fee payable to our Advisor.</w:t>
      </w:r>
    </w:p>
    <w:p>
      <w:pPr>
        <w:spacing w:after="0" w:line="18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to the leverage described above, in the past, we have securitized a large portion of our debt investments to generate cash for funding new investments and may seek to securitize additional debt investments in the future to the extent permitted by the 1940 Act and the risk retention rules adopted pursuant to Section 941 of the Dodd-Frank Wall Street Reform and Consumer Protection Act, or the Dodd-Frank Act. To securitize additional debt investments in the future, we may create a wholly-owned subsidiary and sell and/or contribute a pool of debt investments to such subsidiary. This could include the sale of interests in the subsidiary on a non-recourse basis to purchasers, who we would expect to be willing to accept a lower interest rate to invest in investment grade loan pools. We would retain all or a portion of the equity in any such securitized pool of loans. An inability to securitize part of our debt investments in the future could limit our ability to grow our business, fully execute our business strategy and increase our earnings. Moreover, certain types of securitization transactions may expose us to greater risk of loss than would other types of financing.</w:t>
      </w:r>
    </w:p>
    <w:p>
      <w:pPr>
        <w:spacing w:after="0" w:line="18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June 7, 2018, a “required majority” (as defined in Section 57(o) of the 1940 Act) of our Board approved the reduced asset coverage requirements and separately recommended that our stockholders approve the reduced asset coverage requirements at a special meeting of our stockholders. The Company held a special meeting on October 30, 2018 during which the reduced asset coverage requirements were approved by stockholders. The reduced asset coverage requirements took effect October 31, 2018.</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27" w:name="page28"/>
    <w:bookmarkEnd w:id="27"/>
    <w:p>
      <w:pPr>
        <w:jc w:val="both"/>
        <w:ind w:firstLine="318"/>
        <w:spacing w:after="0" w:line="277" w:lineRule="auto"/>
        <w:rPr>
          <w:sz w:val="20"/>
          <w:szCs w:val="20"/>
          <w:color w:val="auto"/>
        </w:rPr>
      </w:pPr>
      <w:r>
        <w:rPr>
          <w:rFonts w:ascii="Arial" w:cs="Arial" w:eastAsia="Arial" w:hAnsi="Arial"/>
          <w:sz w:val="17"/>
          <w:szCs w:val="17"/>
          <w:i w:val="1"/>
          <w:iCs w:val="1"/>
          <w:color w:val="auto"/>
        </w:rPr>
        <w:t xml:space="preserve">Illustration: </w:t>
      </w:r>
      <w:r>
        <w:rPr>
          <w:rFonts w:ascii="Arial" w:cs="Arial" w:eastAsia="Arial" w:hAnsi="Arial"/>
          <w:sz w:val="17"/>
          <w:szCs w:val="17"/>
          <w:color w:val="auto"/>
        </w:rPr>
        <w:t>The following table illustrates the effect of leverage on returns from an investment in our common stock assuming that we employ leverage</w:t>
      </w:r>
      <w:r>
        <w:rPr>
          <w:rFonts w:ascii="Arial" w:cs="Arial" w:eastAsia="Arial" w:hAnsi="Arial"/>
          <w:sz w:val="17"/>
          <w:szCs w:val="17"/>
          <w:i w:val="1"/>
          <w:iCs w:val="1"/>
          <w:color w:val="auto"/>
        </w:rPr>
        <w:t xml:space="preserve"> </w:t>
      </w:r>
      <w:r>
        <w:rPr>
          <w:rFonts w:ascii="Arial" w:cs="Arial" w:eastAsia="Arial" w:hAnsi="Arial"/>
          <w:sz w:val="17"/>
          <w:szCs w:val="17"/>
          <w:color w:val="auto"/>
        </w:rPr>
        <w:t>such that our asset coverage equals (1) our actual asset coverage as of December 31, 2018 and (2) 150% at various annual returns, net of expenses. The calculations in the table below are hypothetical and actual returns may be higher or lower than those appearing in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0" w:type="dxa"/>
            <w:vAlign w:val="bottom"/>
            <w:gridSpan w:val="6"/>
          </w:tcPr>
          <w:p>
            <w:pPr>
              <w:jc w:val="center"/>
              <w:ind w:left="772"/>
              <w:spacing w:after="0"/>
              <w:rPr>
                <w:sz w:val="20"/>
                <w:szCs w:val="20"/>
                <w:color w:val="auto"/>
              </w:rPr>
            </w:pPr>
            <w:r>
              <w:rPr>
                <w:rFonts w:ascii="Arial" w:cs="Arial" w:eastAsia="Arial" w:hAnsi="Arial"/>
                <w:sz w:val="18"/>
                <w:szCs w:val="18"/>
                <w:b w:val="1"/>
                <w:bCs w:val="1"/>
                <w:color w:val="auto"/>
                <w:w w:val="88"/>
              </w:rPr>
              <w:t>Assumed Return on Portfolio</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600"/>
              <w:spacing w:after="0"/>
              <w:rPr>
                <w:sz w:val="20"/>
                <w:szCs w:val="20"/>
                <w:color w:val="auto"/>
              </w:rPr>
            </w:pPr>
            <w:r>
              <w:rPr>
                <w:rFonts w:ascii="Arial" w:cs="Arial" w:eastAsia="Arial" w:hAnsi="Arial"/>
                <w:sz w:val="18"/>
                <w:szCs w:val="18"/>
                <w:b w:val="1"/>
                <w:bCs w:val="1"/>
                <w:color w:val="auto"/>
                <w:w w:val="86"/>
              </w:rPr>
              <w:t>(Net of Expenses)</w:t>
            </w: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9"/>
        </w:trPr>
        <w:tc>
          <w:tcPr>
            <w:tcW w:w="3940" w:type="dxa"/>
            <w:vAlign w:val="bottom"/>
          </w:tcPr>
          <w:p>
            <w:pPr>
              <w:spacing w:after="0"/>
              <w:rPr>
                <w:sz w:val="19"/>
                <w:szCs w:val="19"/>
                <w:color w:val="auto"/>
              </w:rPr>
            </w:pPr>
          </w:p>
        </w:tc>
        <w:tc>
          <w:tcPr>
            <w:tcW w:w="1220" w:type="dxa"/>
            <w:vAlign w:val="bottom"/>
          </w:tcPr>
          <w:p>
            <w:pPr>
              <w:jc w:val="right"/>
              <w:ind w:right="312"/>
              <w:spacing w:after="0"/>
              <w:rPr>
                <w:sz w:val="20"/>
                <w:szCs w:val="20"/>
                <w:color w:val="auto"/>
              </w:rPr>
            </w:pPr>
            <w:r>
              <w:rPr>
                <w:rFonts w:ascii="Arial" w:cs="Arial" w:eastAsia="Arial" w:hAnsi="Arial"/>
                <w:sz w:val="18"/>
                <w:szCs w:val="18"/>
                <w:b w:val="1"/>
                <w:bCs w:val="1"/>
                <w:color w:val="auto"/>
              </w:rPr>
              <w:t>-10%</w:t>
            </w:r>
          </w:p>
        </w:tc>
        <w:tc>
          <w:tcPr>
            <w:tcW w:w="320" w:type="dxa"/>
            <w:vAlign w:val="bottom"/>
          </w:tcPr>
          <w:p>
            <w:pPr>
              <w:spacing w:after="0"/>
              <w:rPr>
                <w:sz w:val="19"/>
                <w:szCs w:val="19"/>
                <w:color w:val="auto"/>
              </w:rPr>
            </w:pPr>
          </w:p>
        </w:tc>
        <w:tc>
          <w:tcPr>
            <w:tcW w:w="1220" w:type="dxa"/>
            <w:vAlign w:val="bottom"/>
          </w:tcPr>
          <w:p>
            <w:pPr>
              <w:jc w:val="right"/>
              <w:ind w:right="352"/>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392"/>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19"/>
                <w:szCs w:val="19"/>
                <w:color w:val="auto"/>
              </w:rPr>
            </w:pPr>
          </w:p>
        </w:tc>
        <w:tc>
          <w:tcPr>
            <w:tcW w:w="1220" w:type="dxa"/>
            <w:vAlign w:val="bottom"/>
          </w:tcPr>
          <w:p>
            <w:pPr>
              <w:jc w:val="right"/>
              <w:ind w:right="352"/>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9"/>
                <w:szCs w:val="19"/>
                <w:color w:val="auto"/>
              </w:rPr>
            </w:pPr>
          </w:p>
        </w:tc>
      </w:tr>
      <w:tr>
        <w:trPr>
          <w:trHeight w:val="180"/>
        </w:trPr>
        <w:tc>
          <w:tcPr>
            <w:tcW w:w="394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8"/>
                <w:szCs w:val="18"/>
                <w:color w:val="auto"/>
              </w:rPr>
              <w:t>Corresponding return to common stockholder</w:t>
            </w:r>
          </w:p>
        </w:tc>
        <w:tc>
          <w:tcPr>
            <w:tcW w:w="12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14"/>
        </w:trPr>
        <w:tc>
          <w:tcPr>
            <w:tcW w:w="3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assuming actual asset coverage as of December 31,</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3"/>
        </w:trPr>
        <w:tc>
          <w:tcPr>
            <w:tcW w:w="3940" w:type="dxa"/>
            <w:vAlign w:val="bottom"/>
            <w:shd w:val="clear" w:color="auto" w:fill="CCEEFF"/>
          </w:tcPr>
          <w:p>
            <w:pPr>
              <w:ind w:left="100"/>
              <w:spacing w:after="0" w:line="262" w:lineRule="exact"/>
              <w:rPr>
                <w:sz w:val="20"/>
                <w:szCs w:val="20"/>
                <w:color w:val="auto"/>
              </w:rPr>
            </w:pPr>
            <w:r>
              <w:rPr>
                <w:rFonts w:ascii="Arial" w:cs="Arial" w:eastAsia="Arial" w:hAnsi="Arial"/>
                <w:sz w:val="18"/>
                <w:szCs w:val="18"/>
                <w:color w:val="auto"/>
              </w:rPr>
              <w:t>2018</w:t>
            </w:r>
            <w:r>
              <w:rPr>
                <w:rFonts w:ascii="Arial" w:cs="Arial" w:eastAsia="Arial" w:hAnsi="Arial"/>
                <w:sz w:val="29"/>
                <w:szCs w:val="29"/>
                <w:color w:val="auto"/>
                <w:vertAlign w:val="superscript"/>
              </w:rPr>
              <w:t>(1)</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(25.56)%</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w:t>
            </w:r>
          </w:p>
        </w:tc>
      </w:tr>
      <w:tr>
        <w:trPr>
          <w:trHeight w:val="201"/>
        </w:trPr>
        <w:tc>
          <w:tcPr>
            <w:tcW w:w="3940" w:type="dxa"/>
            <w:vAlign w:val="bottom"/>
          </w:tcPr>
          <w:p>
            <w:pPr>
              <w:spacing w:after="0" w:line="201" w:lineRule="exact"/>
              <w:rPr>
                <w:sz w:val="20"/>
                <w:szCs w:val="20"/>
                <w:color w:val="auto"/>
              </w:rPr>
            </w:pPr>
            <w:r>
              <w:rPr>
                <w:rFonts w:ascii="Arial" w:cs="Arial" w:eastAsia="Arial" w:hAnsi="Arial"/>
                <w:sz w:val="18"/>
                <w:szCs w:val="18"/>
                <w:color w:val="auto"/>
              </w:rPr>
              <w:t>Corresponding return to common stockholder</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3940" w:type="dxa"/>
            <w:vAlign w:val="bottom"/>
          </w:tcPr>
          <w:p>
            <w:pPr>
              <w:ind w:left="100"/>
              <w:spacing w:after="0" w:line="251" w:lineRule="exact"/>
              <w:rPr>
                <w:sz w:val="20"/>
                <w:szCs w:val="20"/>
                <w:color w:val="auto"/>
              </w:rPr>
            </w:pPr>
            <w:r>
              <w:rPr>
                <w:rFonts w:ascii="Arial" w:cs="Arial" w:eastAsia="Arial" w:hAnsi="Arial"/>
                <w:sz w:val="18"/>
                <w:szCs w:val="18"/>
                <w:color w:val="auto"/>
              </w:rPr>
              <w:t>assuming 150% asset coverage</w:t>
            </w:r>
            <w:r>
              <w:rPr>
                <w:rFonts w:ascii="Arial" w:cs="Arial" w:eastAsia="Arial" w:hAnsi="Arial"/>
                <w:sz w:val="29"/>
                <w:szCs w:val="29"/>
                <w:color w:val="auto"/>
                <w:vertAlign w:val="superscript"/>
              </w:rPr>
              <w:t>(2)</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(42.16)%</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(26.97)%</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(11.79)%</w:t>
            </w:r>
          </w:p>
        </w:tc>
        <w:tc>
          <w:tcPr>
            <w:tcW w:w="3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18.59%</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____________</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01" w:lineRule="exact"/>
        <w:rPr>
          <w:sz w:val="20"/>
          <w:szCs w:val="20"/>
          <w:color w:val="auto"/>
        </w:rPr>
      </w:pPr>
    </w:p>
    <w:p>
      <w:pPr>
        <w:ind w:left="320" w:hanging="314"/>
        <w:spacing w:after="0" w:line="252"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Assumes $267 million in total assets, $128 million in outstanding debt, $134 million in net assets, and an average cost of borrowed funds of 5.89% at December 31, 2018.</w:t>
      </w:r>
    </w:p>
    <w:p>
      <w:pPr>
        <w:ind w:left="320" w:hanging="314"/>
        <w:spacing w:after="0" w:line="251"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Assumes $407 million in total assets, $268 million in outstanding debt, $134 million in net assets, and an average cost of borrowed funds of 5.89% at December 31, 2018.</w:t>
      </w:r>
    </w:p>
    <w:p>
      <w:pPr>
        <w:spacing w:after="0" w:line="19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Based on our outstanding indebtedness of $128 million as of December 31, 2018 and the average cost of borrowed funds of 5.89% as of that date, our investment portfolio would have needed to experience an annual return of at least 3.47% to cover annual interest payments on the outstanding debt. Actual interest payments may be different.</w:t>
      </w:r>
    </w:p>
    <w:p>
      <w:pPr>
        <w:spacing w:after="0" w:line="18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Based on an outstanding indebtedness of $268 million on an assumed 150% asset coverage ratio and an average cost of borrowed funds of 5.89%, our investment portfolio would need to experience an annual return of at least 4.42% to cover annual interest payments on the outstanding debt. Actual interest payments may be different.</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If we are unable to comply with the covenants or restrictions in the Key Facility or make payments when due thereunder, our business could be materially adversely affected.</w:t>
      </w:r>
    </w:p>
    <w:p>
      <w:pPr>
        <w:spacing w:after="0" w:line="17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Key Facility is secured by a lien on the assets of our wholly owned subsidiary, Credit II. The breach of certain of the covenants or restrictions or our failure to make payments when due under the Key Facility, unless cured within the applicable grace period, would result in a default under the Key Facility that would permit the lender thereunder to declare all amounts outstanding to be due and payable. In such an event, we may not have sufficient assets to repay such indebtedness and the lender may exercise rights available to them, including to the extent permitted under applicable law, the seizure of such assets without adjudication.</w:t>
      </w:r>
    </w:p>
    <w:p>
      <w:pPr>
        <w:spacing w:after="0" w:line="19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Key Facility also requires Credit II and our Advisor to comply with various financial covenants, including maintenance by our Advisor of a minimum tangible net worth and limitations on the value of, and modifications to, the loan collateral that secures the Key Facility. Complying with these restrictions may prevent us from taking actions that we believe would help us to grow our business or are otherwise consistent with our investment objective. These restrictions could also limit our ability to plan for or react to market conditions, meet extraordinary capital needs or otherwise restrict corporate activities, and could result in our failing to qualify as a RIC resulting in our becoming subject to corporate-level income tax. See “Item 7 — Management’s Discussion and Analysis of Financial Condition and Results of Operations — Liquidity and capital resources” for additional information regarding our credit arrangements.</w:t>
      </w:r>
    </w:p>
    <w:p>
      <w:pPr>
        <w:spacing w:after="0" w:line="15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An event of default or acceleration under the Key Facility could also cause a cross-default or cross-acceleration of other debt instruments or contractual obligations, which would adversely impact our liquidity. We may not be granted waivers or amendments to the Key Facility, if for any reason we are unable to comply with the terms of the Key Facility and we may not be able to refinance the Key Facility on terms acceptable to us, or at all.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additional debt financing, our business could be materially adversely affected.</w:t>
      </w:r>
    </w:p>
    <w:p>
      <w:pPr>
        <w:spacing w:after="0" w:line="21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We may want to obtain additional debt financing, or need to do so upon maturity of the Key Facility or 2022 Notes, in order to obtain funds which may be made available for investments. We may borrow under the Key Facility until April 6, 2021. After such date, we must repay the outstanding advances under the Key Facility in accordance with its terms and conditions. All outstanding advances under the Key Facility are due and payable on April 6, 2023, unless such date is extended in accordance with the terms of the Key Facility. All outstanding amounts on our 2022 Notes are due and payable on September 15, 2022 unless redeemed prior to that date. If we are unable to increase, renew or replace the Key Facility or enter into other new debt financings on commercially reasonable terms, our liquidity may be reduced significantly. In addition, if we are unable to repay amounts outstanding under any such debt financings and are declared in default or are unable to renew or refinance these debt financings, we may not be able to make new investments or operate our business in the normal course. These situations may arise due to circumstances that we may be unable to control, such as lack of access to the credit markets, a severe decline in the value of the U.S. dollar, an economic downturn or an operational problem that affects third parties or us, and could materially damage our business.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28" w:name="page29"/>
    <w:bookmarkEnd w:id="28"/>
    <w:p>
      <w:pPr>
        <w:jc w:val="both"/>
        <w:spacing w:after="0" w:line="294" w:lineRule="auto"/>
        <w:rPr>
          <w:sz w:val="20"/>
          <w:szCs w:val="20"/>
          <w:color w:val="auto"/>
        </w:rPr>
      </w:pPr>
      <w:r>
        <w:rPr>
          <w:rFonts w:ascii="Arial" w:cs="Arial" w:eastAsia="Arial" w:hAnsi="Arial"/>
          <w:sz w:val="17"/>
          <w:szCs w:val="17"/>
          <w:b w:val="1"/>
          <w:bCs w:val="1"/>
          <w:i w:val="1"/>
          <w:iCs w:val="1"/>
          <w:color w:val="auto"/>
        </w:rPr>
        <w:t>Because we distribute all or substantially all of our investment company taxable income to our stockholders, we will need additional capital to finance our growth. If additional funds are unavailable or not available on favorable terms, our ability to grow will be impaired.</w:t>
      </w:r>
    </w:p>
    <w:p>
      <w:pPr>
        <w:spacing w:after="0" w:line="15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To satisfy the requirements applicable to a RIC, to avoid incurring excise taxes and to minimize or to avoid incurring corporate-level federal income taxes, we intend to distribute to our stockholders all or substantially all of our investment company taxable income and net capital gains. However, we may retain all or a portion of our net capital gains, incur any applicable income taxes with respect thereto, and elect to treat such retained net capital gains as deemed distributions to our stockholders. As a BDC, we generally are required to maintain coverage of total assets to total senior securities, which includes all of our borrowings and any preferred stock we may issue in the future, of at least 150%, subject to certain disclosures. This requirement limits the amount that we may borrow. Because we continue to need capital to grow our debt investment portfolio, this limitation may prevent us from incurring debt and require us to raise additional equity at a time when it may be disadvantageous to do so. We cannot assure you that debt and equity financing will be available to us on favorable terms, or at all, and debt financings may be restricted by the terms of any of our outstanding borrowings. In addition, as a BDC, we are limited in our ability to issue equity securities at a price below the then-current NAV per share. If additional funds are not available to us, we could be forced to curtail or cease new lending and investment activities, and our NAV could decline.</w:t>
      </w:r>
    </w:p>
    <w:p>
      <w:pPr>
        <w:spacing w:after="0" w:line="183"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b w:val="1"/>
          <w:bCs w:val="1"/>
          <w:i w:val="1"/>
          <w:iCs w:val="1"/>
          <w:color w:val="auto"/>
        </w:rPr>
        <w:t>As a BDC, we generally are not able to issue our common stock at a price below the then-current NAV per share without first obtaining the approval of our stockholders and our independent directors. If our common stock trades at a price below NAV per share and we do not receive such approval, our business could be materially adversely affected.</w:t>
      </w:r>
    </w:p>
    <w:p>
      <w:pPr>
        <w:spacing w:after="0" w:line="18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 a BDC, we generally are not able to issue our common stock at a price below the then-current NAV per share without first obtaining the approval of our stockholders and our independent directors. Stockholder approval to offer our common stock at a price below NAV per share expired in January 2016, but we may seek such approval again in the future. If our common stock trades at a price below NAV per share and we do not receive approval from our stockholders and our independent directors to issue common stock at a price below NAV per share, we cannot raise capital through the issuance of common stock. This may limit our ability: to grow and make new investments; to attract and retain top investment professionals; to maintain deal flow and relations with top companies in our Target Industries and related entities such as venture capital and private equity sponsors; and to sustain a minimum efficient scale for a public company.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associated with a rising interest rate environment that may affect our cost of capital and net investment income.</w:t>
      </w:r>
    </w:p>
    <w:p>
      <w:pPr>
        <w:spacing w:after="0" w:line="22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While interest rates remain relatively low, due to several factors, including longer-term inflationary pressure that may result from the U.S. government’s fiscal policies, the end of the Federal Reserve quantitative easing program and recent increases in the Federal Funds rate, we expect to experience rising interest rates, rather than falling rates in the future.</w:t>
      </w:r>
    </w:p>
    <w:p>
      <w:pPr>
        <w:spacing w:after="0" w:line="18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Because we currently incur indebtedness to fund our investments, a portion of our income depends upon the difference between the interest rate at which we borrow funds and the interest rate at which we invest these funds. To the extent our investments have fixed interest rates or have interest rate floors that are higher than the floor on, or interest rates that “reset” less frequently than, the Key Facility, increases in interest rates can lead to interest rate compression and have a material adverse effect on our net investment income. In addition to increasing the cost of borrowed funds, which may materially reduce our net investment income, rising interest rates may also adversely affect our ability to obtain additional debt financing on terms as favorable as under our current debt financings, or at all. See “—If we are unable to obtain additional debt financing, our business could be materially adversely affected.”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29" w:name="page30"/>
    <w:bookmarkEnd w:id="29"/>
    <w:p>
      <w:pPr>
        <w:jc w:val="both"/>
        <w:ind w:firstLine="318"/>
        <w:spacing w:after="0" w:line="265" w:lineRule="auto"/>
        <w:rPr>
          <w:sz w:val="20"/>
          <w:szCs w:val="20"/>
          <w:color w:val="auto"/>
        </w:rPr>
      </w:pPr>
      <w:r>
        <w:rPr>
          <w:rFonts w:ascii="Arial" w:cs="Arial" w:eastAsia="Arial" w:hAnsi="Arial"/>
          <w:sz w:val="17"/>
          <w:szCs w:val="17"/>
          <w:color w:val="auto"/>
        </w:rPr>
        <w:t>In a rising interest rate environment, there is a risk that the portfolio companies in which we hold floating rate securities will be unable to pay escalating interest amounts, which could result in a default under their loan documents with us. Rising interests rates could also cause portfolio companies to shift cash from other productive uses to the payment of interest, which may have a material adverse effect on their business and operations and could, over time, lead to increased defaults on our investments in such portfolio companies. In addition, increasing payment obligations under floating rate loans may cause borrowers to refinance or otherwise repay our loans earlier than they otherwise would, requiring us to incur management time and expense to re-deploy such proceeds, including on terms that may not be as favorable as our existing loans.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8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may hedge against interest rate fluctuations by using hedging instruments such as caps, swaps, futures, options and forward contracts, subject to applicable legal requirements, including all necessary registrations (or exemptions from registration) with the Commodity Futures Trading Commission. These activities may limit our ability to benefit from lower interest rates with respect to the hedged portfolio. Adverse developments resulting from changes in interest rates or hedging transactions or any adverse developments from our use of hedging instruments could have a material adverse effect on our business, financial condition and results of operations. In addition, we may be unable to enter into appropriate hedging transactions when desired and any hedging transactions we enter into may not be effective.</w:t>
      </w:r>
    </w:p>
    <w:p>
      <w:pPr>
        <w:spacing w:after="0" w:line="1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a rise in the general level of interest rates can be expected to lead to higher interest rates applicable to our debt investments, an increase in interest rates would make it easier for us to meet or exceed the hurdle rate applicable to the incentive fee and may result in a substantial increase in the amount of incentive fees payable to the Advisor with respect to Pre-Incentive Fee Net Investment Income.</w:t>
      </w:r>
    </w:p>
    <w:p>
      <w:pPr>
        <w:spacing w:after="0" w:line="18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Also, an increase in interest rates on investments available to investors could make investment in our common stock less attractive if we are not able to increase our distributions, which could materially reduce the value of our common stock.</w:t>
      </w:r>
    </w:p>
    <w:p>
      <w:pPr>
        <w:spacing w:after="0" w:line="17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July 27, 2017, the head of the United Kingdom Financial Conduct Authority announced that it will no longer persuade or compel banks to submit rates for the calculation of the London InterBank Offered Rate, or LIBOR, after 2021, or the FCA Announcement. Furthermore, in the United States, efforts to identify a set of alternative U.S. dollar reference interest rates include proposals by the Alternative Reference Rates Committee of the Federal Reserve Board and the Federal Reserve Bank of New York. On August 24, 2017, the Federal Reserve Board requested public comment on a proposal by the Federal Reserve Bank of New York, in cooperation with the Office of Financial Research, to produce three new reference rates intended to serve as alternatives to LIBOR. These alternative rates are based on overnight repurchase agreement transactions secured by U.S. Treasury Securities. On December 12, 2017, following consideration of public comments, the Federal Reserve Board concluded that the public would benefit if the Federal Reserve Bank of New York published the three proposed reference rates as alternatives to LIBOR, or the Federal Reserve Board Notice. The Federal Reserve Bank of New York said that the publication of these alternative rates is targeted to commence by mid-2018.</w:t>
      </w:r>
    </w:p>
    <w:p>
      <w:pPr>
        <w:spacing w:after="0" w:line="18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any further changes or reforms to the determination or supervision of LIBOR may result in a sudden or prolonged increase or decrease in reported LIBOR, which could have an adverse impact on the market value for or value of any LIBOR-linked securities, loans, and other financial obligations or extensions of credit held by or due to us and could have a material adverse effect on our business, financial condition and results of operations. At this time, it is not possible to predict the effect of the FCA Announcement, the Federal Reserve Board Notice, or other regulatory changes or announcements, any establishment of alternative reference rates or any other reforms to LIBOR that may be enacted in the United Kingdom, the United States or elsewhere. As such, the potential effect of any such event on our net investment income cannot yet be determined.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30" w:name="page31"/>
    <w:bookmarkEnd w:id="30"/>
    <w:p>
      <w:pPr>
        <w:jc w:val="both"/>
        <w:spacing w:after="0" w:line="265" w:lineRule="auto"/>
        <w:rPr>
          <w:sz w:val="20"/>
          <w:szCs w:val="20"/>
          <w:color w:val="auto"/>
        </w:rPr>
      </w:pPr>
      <w:r>
        <w:rPr>
          <w:rFonts w:ascii="Arial" w:cs="Arial" w:eastAsia="Arial" w:hAnsi="Arial"/>
          <w:sz w:val="18"/>
          <w:szCs w:val="18"/>
          <w:b w:val="1"/>
          <w:bCs w:val="1"/>
          <w:i w:val="1"/>
          <w:iCs w:val="1"/>
          <w:color w:val="auto"/>
        </w:rPr>
        <w:t>Because many of our investments are not and typically will not be in publicly traded securities, the value of our investments may not be readily determinable, which could adversely affect the determination of our NAV.</w:t>
      </w:r>
    </w:p>
    <w:p>
      <w:pPr>
        <w:spacing w:after="0" w:line="17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Our investments consist, and we expect our future investments to consist, primarily of debt investments or securities issued by privately held companies. As these investments are not publicly traded, their fair value may not be readily determinable. In addition, we are not permitted to maintain a general reserve for anticipated debt investment losses. Instead, we are required by the 1940 Act to specifically value each investment and record an unrealized gain or loss for any asset that we believe has increased or decreased in value. We value these investments on a quarterly basis, or more frequently as circumstances require, in accordance with our valuation policy and consistent with GAAP. Our Board employs independent third-party valuation firms to assist it in arriving at the fair value of our investments. Our Board discusses valuations and determines the fair value in good faith based on the input of our Advisor and the third-party valuation firms. The factors that may be considered in fair value pricing our investments include the nature and realizable value of any collateral, the portfolio company’s earnings and its ability to make payments on its indebtedness, the markets in which the portfolio company does business, comparisons to publicly traded companies, discounted cash flow and other relevant factors. Because such valuations are inherently uncertain and may be based on estimates, our determinations of fair value may differ materially from the values that would be assessed if a ready market for these securities existed. Our NAV could be adversely affected if our determinations regarding the fair value of our investments are materially higher than the values that we ultimately realize upon the disposal of these investments.</w:t>
      </w:r>
    </w:p>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 which may expose us to additional risks.</w:t>
      </w:r>
    </w:p>
    <w:p>
      <w:pPr>
        <w:spacing w:after="0" w:line="17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business plans contemplate a need for a substantial amount of capital in addition to our current amount of capital. We may obtain additional capital through the issuance of debt securities or preferred stock, and we may borrow money from banks or other financial institutions, which we refer to collectively as “senior securities,” up to the maximum amount permitted by the 1940 Act. If we issue senior securities, we would be exposed to typical risks associated with leverage, including an increased risk of loss. In addition, if we issue preferred stock, it would rank senior to common stock in our capital structure and preferred stockholders would have separate voting rights and may have rights, preferences or privileges more favorable than those of holders of our common stock.</w:t>
      </w:r>
    </w:p>
    <w:p>
      <w:pPr>
        <w:spacing w:after="0" w:line="15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1940 Act permits us to issue senior securities in amounts such that our asset coverage, as defined in the 1940 Act, equals at least 150% after each issuance of senior securities, subject to certain disclosure requirements. If our asset coverage is not at least 150%, we are not permitted to pay distributions or issue additional senior securities. As a result, we may have difficulty meeting the Annual Distribution Requirement necessary to maintain RIC tax treatment. Moreover, if the value of our assets declines, we may be unable to satisfy this asset coverage test. If that happens, we may be required to liquidate a portion of our investments and repay a portion of our indebtedness at a time when we may be unable to do so or unable to do so on favorable terms.</w:t>
      </w:r>
    </w:p>
    <w:p>
      <w:pPr>
        <w:spacing w:after="0" w:line="15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As a BDC, we generally are not able to issue our common stock at a price below NAV per share without first obtaining the approval of our stockholders and our independent directors. Our stockholder approval expired in January 2016, but we may seek such approval again in the future. If our common stock trades at a price below NAV per share and we do not receive approval from our stockholders and our independent directors to issue common stock at a price below NAV per share, we cannot raise capital through the issuance of equity securities. This may limit our ability: to grow and make new investments; to attract and retain top investment professionals; to maintain deal flow and relations with top companies in our Target Industries and related entities such as venture capital and private equity sponsors; and to sustain a minimum efficient scale for a public company. The stockholder approval requirement does not apply to stock issued upon the exercise of options, warrants or rights that we may issue from time to time. If we raise additional funds by issuing more common stock or senior securities convertible into, or exchangeable for, our common stock, the percentage ownership of our stockholders at that time would decrease, and you may experience dilution.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passed legislation allows us to incur additional leverage.</w:t>
      </w:r>
    </w:p>
    <w:p>
      <w:pPr>
        <w:spacing w:after="0" w:line="217" w:lineRule="exact"/>
        <w:rPr>
          <w:sz w:val="20"/>
          <w:szCs w:val="20"/>
          <w:color w:val="auto"/>
        </w:rPr>
      </w:pPr>
    </w:p>
    <w:p>
      <w:pPr>
        <w:jc w:val="both"/>
        <w:ind w:firstLine="394"/>
        <w:spacing w:after="0" w:line="263" w:lineRule="auto"/>
        <w:rPr>
          <w:sz w:val="20"/>
          <w:szCs w:val="20"/>
          <w:color w:val="auto"/>
        </w:rPr>
      </w:pPr>
      <w:r>
        <w:rPr>
          <w:rFonts w:ascii="Arial" w:cs="Arial" w:eastAsia="Arial" w:hAnsi="Arial"/>
          <w:sz w:val="17"/>
          <w:szCs w:val="17"/>
          <w:color w:val="auto"/>
        </w:rPr>
        <w:t>A BDC has historically been able to issue “senior securities,” including borrowing money from banks or other financial institutions, only in amounts such that its asset coverage, as defined in the 1940 Act, equals at least 200% after such incurrence or issuance. On March 23, 2018, the SBCAA was signed into law and amended the 1940 Act to decrease the asset coverage requirements applicable to BDCs from 200% to 150% if such lower asset coverage requirements have been approved by either (a) a majority of a BDC’s directors who have no financial interest in such approval and a majority of the BDC’s directors who are not interested persons, as defined by the 1940 Act (a “required majority” as defined in Section 57(o) of the 1940 Act), of such BDC, in which case such reduced asset coverage requirements would take effect on the first anniversary of the date of such approval, or (b) a majority of votes cast by the stockholders of such BDC at a special or annual meeting at which a quorum is present, in which case such reduced asset coverage requirements shall take effect on the day after such approval. On June 7, 2018, a “required majority” (as defined in Section 57(o) of the 1940 Act) of our Board approved the reduced asset coverage requirements and separately recommended that our stockholders approve the reduced asset coverage requirements at a special meeting of our stockholders. The Company held a special meeting on October 30, 2018 during which the reduced asset coverage requirements were approved by stockholders. The reduced asset coverage requirements took effect October 31, 2018.</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31" w:name="page32"/>
    <w:bookmarkEnd w:id="31"/>
    <w:p>
      <w:pPr>
        <w:jc w:val="both"/>
        <w:ind w:firstLine="394"/>
        <w:spacing w:after="0" w:line="252" w:lineRule="auto"/>
        <w:rPr>
          <w:sz w:val="20"/>
          <w:szCs w:val="20"/>
          <w:color w:val="auto"/>
        </w:rPr>
      </w:pPr>
      <w:r>
        <w:rPr>
          <w:rFonts w:ascii="Arial" w:cs="Arial" w:eastAsia="Arial" w:hAnsi="Arial"/>
          <w:sz w:val="18"/>
          <w:szCs w:val="18"/>
          <w:color w:val="auto"/>
        </w:rPr>
        <w:t>As a result, if we comply with certain disclosure requirements, we will be able to incur additional indebtedness, which may increase the risk of investing in us. See “We borrow money, which magnifies the potential for gain or loss on amounts invested and may increase the risk of investing in us.” In addition, since our base management fee is payable based upon our gross assets (less cash and cash equivalents), which includes any assets acquired with the proceeds of borrowings, the base management fee expense will increase if we incur additional leverage.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satisfy the requirements under the Code for qualification as a RIC, we will be subject to corporate-level income taxes.</w:t>
      </w:r>
    </w:p>
    <w:p>
      <w:pPr>
        <w:spacing w:after="0" w:line="22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To qualify as a RIC under the Code, we must meet certain source-of-income and asset diversification requirements contained in Subchapter M of the Code, as well as maintain our election to be regulated as a BDC under the 1940 Act. We must also meet the Annual Distribution Requirement in order to avoid the imposition of corporate-level income taxes on all of our taxable income, regardless of whether we make any distributions to our stockholders.</w:t>
      </w:r>
    </w:p>
    <w:p>
      <w:pPr>
        <w:spacing w:after="0" w:line="13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Qualifying Income Test is satisfied if we derive in each tax year at least 90% of our gross income from dividends, interest (including tax-exempt interest), payments with respect to certain securities loans, gains from the sale or other disposition of stock, securities or foreign currencies, other income (including but not limited to gain from options, futures or forward contracts) derived with respect to our business of investing in stock, securities or currencies, or net income derived from interests in “qualified publicly traded partnerships.” The status of certain forms of income we receive could be subject to different interpretations under the Code and might be characterized as non-qualifying income that could cause us to fail to qualify as a RIC, assuming we do not qualify for or take advantage of certain remedial provisions, and, thus, may cause us to be subject to corporate-level federal income taxes.</w:t>
      </w:r>
    </w:p>
    <w:p>
      <w:pPr>
        <w:spacing w:after="0" w:line="153"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To qualify as a RIC, we must also meet the Diversification Tests at the end of each quarter of our tax year. Failure to meet these tests may result in our having to (1) dispose of certain investments quickly; (2) raise additional capital to prevent the loss of RIC status; or (3) engage in certain remedial actions that may entail the disposition of certain investments at disadvantageous prices that could result in substantial losses, and the payment of penalties, if we qualify to take such actions. Because most of our investments are and will be in development-stage companies within our Target Industries, any such dispositions could be made at disadvantageous prices and may result in substantial losses. If we raise additional capital to satisfy the asset diversification requirements, it could take a longer time to invest such capital. During this period, we will invest in temporary investments, such as money market funds, which we expect will earn yields substantially lower than the interest income that we anticipate receiving in respect of our investments in secured and amortizing debt investments.</w:t>
      </w:r>
    </w:p>
    <w:p>
      <w:pPr>
        <w:spacing w:after="0" w:line="153"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The Annual Distribution Requirement is satisfied if we distribute dividends to our stockholders in each tax year of an amount generally equal to at least 90% of our investment company taxable income, determined without regard to any deductions for dividends paid. If we borrow money, we may be subject to certain asset coverage requirements under the 1940 Act and loan covenants that could, under certain circumstances, restrict us from making distributions necessary to qualify as a RIC. If we are unable to obtain cash from other sources, we may fail to be eligible to be subject to taxation as a RIC, assuming we do not qualify for or take advantage of certain remedial provisions, and, thus, may be subject to corporate-level income taxes.</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we were to fail to qualify as a RIC for any reason and become subject to a corporate-level income taxes, the resulting taxes could substantially reduce our net assets, the amount of income available for distribution to our stockholders, and the actual amount of our distributions. Such a failure would have a material adverse effect on us, the NAV of our common stock and the total return, if any, obtainable from your investment in our common stock. In addition, we could be required to recognize unrealized gains, incur substantial taxes and interest and make substantial distributions before requalifying as a RIC. See “Item 1. Business —Regulation.”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Impact of Recently Enacted Federal Tax Legislation</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Significant U.S. federal tax reform legislation was recently enacted that, among many other changes, permanently reduces the maximum federal corporate income tax rate, reduces the maximum individual income tax rate (effective for taxable years 2018 through 2025), restricts the deductibility of business interest expense, changes the rules regarding the use of net operating losses, and under certain circumstances requires accrual method taxpayers to recognize income for U.S. federal income tax purposes no later than the income is taken into account as revenue in an applicable financial statement. The impact of this new legislation on us and our portfolio companies is uncertain. Prospective investors are urged to consult their tax advisors regarding the effects of the new legislation.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U.S. tariff and import/export regulations may have a negative effect on our portfolio companies and, in turn, harm us.</w:t>
      </w:r>
    </w:p>
    <w:p>
      <w:pPr>
        <w:spacing w:after="0" w:line="21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There has been ongoing discussion and commentary regarding potential significant changes to U.S. trade policies, treaties and tariffs. The current U.S. presidential administration, along with the U.S. Congress, has created significant uncertainty about the future relationship between the United States and other countries with respect to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restrict our portfolio companies' access to suppliers or customers and have a material adverse effect on their business, financial condition and results of operations, which in turn would negatively impact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paying our required distributions if we recognize taxable income before or without receiving cash.</w:t>
      </w:r>
    </w:p>
    <w:p>
      <w:pPr>
        <w:spacing w:after="0" w:line="2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debt instruments that are treated under applicable tax rules as having original issue discount (such as debt instruments with PIK, or, in certain cases, increasing interest rates or issued with warrants), we must include in taxable income each tax year a portion of the original issue discount that accrues over the life of the debt instrument, regardless of whether cash representing such income is received by us in the same tax year. We do not have a policy limiting our ability to invest in original issue discount instruments, including PIK debt investments. Because in certain cases we may recognize taxable income before or without receiving cash representing such income, we may have difficulty meeting the Annual Distribution Requirement.</w:t>
      </w:r>
    </w:p>
    <w:p>
      <w:pPr>
        <w:spacing w:after="0" w:line="18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Accordingly, we may need to sell some of our assets at times that we would not consider advantageous, raise additional debt or equity capital or forego new investment opportunities or otherwise take actions that are disadvantageous to our business (or be unable to take actions that we believe are necessary or advantageous to our business) in order to satisfy the Annual Distribution Requirement. If we are unable to obtain cash from other sources to satisfy the Annual Distribution Requirement, we may become subject to a corporate-level income taxes on all of our income. The proportion of our income, consisting of interest and fee income that resulted from the portion of original issue discount classified as such in accordance with GAAP not received in cash for the years ended December 31, 2018, 2017 and 2016 was 10.4%, 9.5% and 12.6%, respectively.</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If we make loans to borrowers or acquire loans that contain deferred payment features, such as loans providing for the payment of portions of principal and/or interest at maturity, this could increase the risk of default by our borrowers.</w:t>
      </w:r>
    </w:p>
    <w:p>
      <w:pPr>
        <w:spacing w:after="0" w:line="17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investments with deferred payment features, such as debt investments providing for ETPs, may represent a higher credit risk than debt investments requiring payments of all principal and accrued interest at regular intervals over the life of the debt investment. For example, even if the accounting conditions for income accrual were met during the period when the obligation was outstanding, the borrower could still default when our actual collection is scheduled to occur upon maturity of the obligation. The amount of ETPs due under our investments having such a feature currently represents a small portion of the applicable borrowers’ total repayment obligations under such investments. However, deferred payment arrangements increase the incremental risk that we will not receive a portion of the amount due at maturity. Additionally, because investments with a deferred payment feature may have the effect of deferring a portion of the borrower’s payment obligation until maturity of the debt investment, it may be difficult for us to identify and address developing problems with borrowers in terms of their ability to repay us. Any such developments may increase the risk of default on our debt investments by borrowers.</w:t>
      </w:r>
    </w:p>
    <w:p>
      <w:pPr>
        <w:spacing w:after="0" w:line="15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debt investments providing for ETPs are subject to the risks associated with debt investments having original issue discount (such as debt instruments with PIK interest or, in certain cases, increasing interest rates or issued with warrants). See “—We may have difficulty paying our required distributions if we recognize taxable income before or without receiving cash.”</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33" w:name="page34"/>
    <w:bookmarkEnd w:id="33"/>
    <w:p>
      <w:pPr>
        <w:jc w:val="both"/>
        <w:spacing w:after="0" w:line="255" w:lineRule="auto"/>
        <w:rPr>
          <w:sz w:val="20"/>
          <w:szCs w:val="20"/>
          <w:color w:val="auto"/>
        </w:rPr>
      </w:pPr>
      <w:r>
        <w:rPr>
          <w:rFonts w:ascii="Arial" w:cs="Arial" w:eastAsia="Arial" w:hAnsi="Arial"/>
          <w:sz w:val="18"/>
          <w:szCs w:val="18"/>
          <w:b w:val="1"/>
          <w:bCs w:val="1"/>
          <w:i w:val="1"/>
          <w:iCs w:val="1"/>
          <w:color w:val="auto"/>
        </w:rPr>
        <w:t>The borrowing needs of our portfolio companies are unpredictable, especially during a challenging economic environment. We may not be able to meet our unfunded commitments to extend credit, which could have a material adverse effect on our reputation in the market and our ability to generate incremental lending activity and may subject us to lender liability claims.</w:t>
      </w:r>
    </w:p>
    <w:p>
      <w:pPr>
        <w:spacing w:after="0" w:line="18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 commitment to extend credit is an agreement to lend funds to our portfolio companies as long as there is no violation of any condition established under the agreement. Because of the credit profile of our portfolio companies, we typically have a substantial amount of total unfunded credit commitments, which amount is not reflected on our balance sheet. The actual borrowing needs of our portfolio companies may exceed our expected funding requirements, especially during a challenging economic environment when our portfolio companies may be more dependent on our credit commitments due to the lack of available credit elsewhere, an increasing cost of credit or the limited availability of equity financing from venture capital firms or otherwise. In addition, limited partner investors of some of our portfolio companies may fail to meet their underlying investment commitments due to liquidity or other financing issues, which may increase our portfolio companies’ borrowing needs. Any failure to meet our unfunded credit commitments in accordance with the actual borrowing needs of our portfolio companies may have a material adverse effect on our reputation in the market and our ability to generate incremental lending activity and may subject us to lender liability claims.</w:t>
      </w:r>
    </w:p>
    <w:p>
      <w:pPr>
        <w:spacing w:after="0" w:line="18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If we do not invest a sufficient portion of our assets in qualifying assets, we could fail to qualify as a BDC or be precluded from investing according to our current business strategy.</w:t>
      </w:r>
    </w:p>
    <w:p>
      <w:pPr>
        <w:spacing w:after="0" w:line="179"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As a BDC, we are prohibited from acquiring any assets other than qualifying assets (as defined under the 1940 Act) unless, at the time of and after giving effect to such acquisition, at least 70% of our total assets are qualifying assets. Subject to certain exceptions for follow-on investments and distressed companies, an investment in an issuer that has outstanding securities listed on a national securities exchange may be treated as a qualifying asset only if such issuer has a market capitalization that is less than $250 million at the time of such investment and meets the other specified requirements. We may decide to make other investments that are not qualifying assets to the extent permitted by the 1940 Act.</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we acquire debt or equity securities from an issuer that has outstanding marginable securities at the time we make an investment, these acquired assets may not be treated as qualifying assets. This result is dictated by the definition of “eligible portfolio company” under the 1940 Act, which in part looks to whether a company has outstanding marginable securities. See Item 1 above, “Regulation — Qualifying assets.”</w:t>
      </w:r>
    </w:p>
    <w:p>
      <w:pPr>
        <w:spacing w:after="0" w:line="18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If we do not invest a sufficient portion of our assets in qualifying assets, we could lose our status as a BDC. If we do not maintain our status as a BDC, we would be subject to regulation as a registered closed-end investment company under the 1940 Act. As a registered closed-end investment company, we would be subject to substantially more regulatory restrictions under the 1940 Act, which would significantly decrease our operating flexibility.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modified laws or regulations governing our operations may adversely affect our business.</w:t>
      </w:r>
    </w:p>
    <w:p>
      <w:pPr>
        <w:spacing w:after="0" w:line="21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and our portfolio companies are subject to regulation at the U.S. local, state and federal level. We are also subject to federal, state and local laws and are subject to judicial and administrative decisions that affect our operations, including maximum interest rates, fees and other charges, disclosures to portfolio companies, the terms of secured transactions, collection and foreclosure proceedings and other trade practices. If these laws, regulations or decisions change, or if we expand our business into additional jurisdictions, we may have to incur significant expenses in order to comply or we might have to restrict our operations. New legislation may be enacted or new interpretations, rulings or regulations could be adopted, including those governing the types of investments we or our portfolio companies are permitted to make, any of which could harm us and our stockholders, potentially with retroactive effect. In particular, the impact of the Dodd-Frank Act, and any amendments thereto that may be enacted, on us and our portfolio companies is subject to continuing uncertainty.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 President Trump and certain members of Congress have indicated they will seek to amend or repeal portions of the Dodd-Frank Act, among other federal laws. We cannot predict the ultimate effect on us or our portfolio companies that changes in the laws and regulations would have as a result of the Dodd-Frank Act, or whether and the extent to which the Dodd-Frank Act may remain in its current form. In addition, uncertainty regarding legislation and regulations affecting the financial services industry or taxation could also adversely impact our business or the business of our portfolio companies. If we do not comply with applicable laws and regulations, we could lose any licenses that we then hold for the conduct of our business and may be subject to civil fines and criminal penalties.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34" w:name="page35"/>
    <w:bookmarkEnd w:id="34"/>
    <w:p>
      <w:pPr>
        <w:jc w:val="both"/>
        <w:ind w:firstLine="318"/>
        <w:spacing w:after="0" w:line="318" w:lineRule="auto"/>
        <w:rPr>
          <w:sz w:val="20"/>
          <w:szCs w:val="20"/>
          <w:color w:val="auto"/>
        </w:rPr>
      </w:pPr>
      <w:r>
        <w:rPr>
          <w:rFonts w:ascii="Arial" w:cs="Arial" w:eastAsia="Arial" w:hAnsi="Arial"/>
          <w:sz w:val="15"/>
          <w:szCs w:val="15"/>
          <w:color w:val="auto"/>
        </w:rPr>
        <w:t>Changes to or repeal of the laws and regulations governing our operations related to permitted investments may cause us to alter our investment strategy in order to avail ourselves of new or different opportunities. Such changes could result in material differences to our strategies and plans and may shift our investment focus from the areas of expertise of our Advisor to other types of investments in which our Advisor may have little or no expertise or experience. Any such changes, if they occur, could have a material adverse effect on our results of operations and the value of your investment.</w:t>
      </w:r>
    </w:p>
    <w:p>
      <w:pPr>
        <w:spacing w:after="0" w:line="14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Additionally, on February 3, 2017, President Trump signed Executive Order 13772 announcing the Administration's policy to regulate the U.S. financial system in a manner consistent with certain "Core Principles," including regulation that is efficient, effective and appropriately tailored. The Executive Order directed the Secretary of the Treasury, in consultation with the heads of the member agencies of the Financial Stability Oversight Council, to report to the President on the extent to which existing laws, regulations and other government policies promote the Core Principles and to identify any laws, regulations or other government policies that inhibit federal regulation of the U.S. financial system. On June 12, 2017, the U.S. Department of the Treasury published the first of several reports in response to the Executive Order on the depository system covering banks and other savings institutions. On October 6, 2017, the Treasury released a second report outlining ways to streamline and reform the U.S. regulatory system for capital markets, followed by a third report, on October 26, 2017, examining the current regulatory framework for the asset management and insurance industries. Subsequent reports are expected to address: retail and institutional investment products and vehicles; non-bank financial institutions; financial technology; and financial innovation.</w:t>
      </w:r>
    </w:p>
    <w:p>
      <w:pPr>
        <w:spacing w:after="0" w:line="15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On May 24, 2018, President Trump signed into law the Economic Growth, Regulatory Relief, and Consumer Protection Act, which increased from $50 billion to $250 billion the asset threshold for designation of "systemically important financial institutions" or "SIFIs" subject to enhanced prudential standards set by the Federal Reserve Board, staggering application of this change based on the size and risk of the covered bank holding company. On May 30, 2018, the Federal Reserve Board voted to consider changes to the Volcker Rule that would loosen compliance requirements for all banks. The effect of this change and any further rules or regulations are and could be complex and far-reaching, and the change and any future laws or regulations or changes thereto could negatively impact our operations, cash flows or financial condition, impose additional costs on us, intensify the regulatory supervision of us or otherwise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presidential administration initiatives could negatively impact our business, financial condition and results of operations.</w:t>
      </w:r>
    </w:p>
    <w:p>
      <w:pPr>
        <w:spacing w:after="0" w:line="229"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The Trump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Trump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 has significant potential conflicts of interest with us and our stockholders.</w:t>
      </w:r>
    </w:p>
    <w:p>
      <w:pPr>
        <w:spacing w:after="0" w:line="2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 a result of our arrangements with our Advisor, there may be times when our Advisor has interests that differ from those of our stockholders, giving rise to a potential conflict of interest. Our executive officers and directors, as well as the current and future executives and employees of our Advisor, serve or may serve as officers, directors or principals of entities that operate in the same or a related line of business as we do. Accordingly, they may have obligations to investors in those entities, the fulfillment of which might not be in the best interests of our stockholders. In addition, obligations to these other entities may cause our executive officers and directors and those of our Advisor to divert their time and attention away from us or otherwise cause them not to dedicate a significant portion of their time to our businesses which could slow our rate of investment.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35" w:name="page36"/>
    <w:bookmarkEnd w:id="35"/>
    <w:p>
      <w:pPr>
        <w:jc w:val="both"/>
        <w:ind w:firstLine="318"/>
        <w:spacing w:after="0" w:line="269" w:lineRule="auto"/>
        <w:rPr>
          <w:sz w:val="20"/>
          <w:szCs w:val="20"/>
          <w:color w:val="auto"/>
        </w:rPr>
      </w:pPr>
      <w:r>
        <w:rPr>
          <w:rFonts w:ascii="Arial" w:cs="Arial" w:eastAsia="Arial" w:hAnsi="Arial"/>
          <w:sz w:val="17"/>
          <w:szCs w:val="17"/>
          <w:color w:val="auto"/>
        </w:rPr>
        <w:t>In addition, our Advisor manages other funds, and may manage additional funds in the future, that have investment objectives that are similar, in whole or in part, to ours. Our Advisor may determine that an investment is appropriate for us and for one or more of those other funds. In such an event, depending on the availability of the investment and other appropriate factors, our Advisor will endeavor to allocate investment opportunities in a fair and equitable manner and act in accordance with its written allocation policy to address and, if necessary, resolve any conflict of interests. It is also possible that we may not be given the opportunity to participate in these other investment opportunities.</w:t>
      </w:r>
    </w:p>
    <w:p>
      <w:pPr>
        <w:spacing w:after="0" w:line="177"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We pay management and incentive fees to our Advisor and reimburse our Advisor for certain expenses it incurs. As a result, investors in our common stock invest on a “gross” basis and receive distributions on a “net” basis after expenses, resulting in a lower rate of return than an investor might achieve through direct investments. Also, the incentive fee payable by us to our Advisor may create an incentive for our Advisor to pursue investments on our behalf that are riskier or more speculative than would be the case in the absence of such compensation arrangements. In addition, if any of the other funds managed by our Advisor have a different fee structure than we do, our Advisor may, in certain circumstances, have an incentive to devote more time and resources, and/or recommend the allocation of investment opportunities, to such fund. For example, to the extent our Advisor’s incentive compensation is not subject to a total return requirement with respect to another fund, it may have an incentive to devote time and resources to such fund.</w:t>
      </w:r>
    </w:p>
    <w:p>
      <w:pPr>
        <w:spacing w:after="0" w:line="15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entered into a license agreement with HTF pursuant to which it has agreed to grant us a non-exclusive, royalty-free right and license to use the service mark “Horizon Technology Finance.” Under this agreement, we have a right to use the “Horizon Technology Finance” service mark for so long as the Investment Management Agreement is in effect between us and our Advisor. In addition, we pay our Advisor, our allocable portion of overhead and other expenses incurred by our Advisor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Any potential conflict of interest arising as a result of our arrangements with our Advisor could have a material adverse effect on our business, results of operations and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incentive fee may impact our Advisor’s structuring of our investments, including by causing our Advisor to pursue speculative investments.</w:t>
      </w:r>
    </w:p>
    <w:p>
      <w:pPr>
        <w:spacing w:after="0" w:line="25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incentive fee payable by us to our Advisor may create an incentive for our Advisor to pursue investments on our behalf that are riskier or more speculative than would be the case in the absence of such compensation arrangement. The incentive fee payable to our Advisor is calculated based on a percentage of our return on invested capital. This may encourage our Advisor to use leverage to increase the return on our investments. Under certain circumstances, the use of leverage may increase the likelihood of default, which would impair the value of our common stock. In addition, our Advisor receives the incentive fee based, in part, upon net capital gains realized on our investments. Unlike that portion of the incentive fee based on income, there is no hurdle rate applicable to the portion of the incentive fee based on net capital gains. As a result, our Advisor may have an incentive to invest more capital in investments that are likely to result in capital gains as compared to income-producing securities. Such a practice could result in our investing in more speculative investments than would otherwise be the case, which could result in higher investment losses, particularly during economic downturns. In addition, the incentive fee may encourage our Advisor to pursue different types of investments or structure investments in ways that are more likely to result in warrant gains or gains on equity investments, including upon exercise of equity participation rights, which are inconsistent with our investment strategy and disciplined underwriting process.</w:t>
      </w:r>
    </w:p>
    <w:p>
      <w:pPr>
        <w:spacing w:after="0" w:line="15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incentive fee payable by us to our Advisor may also induce our Advisor to pursue investments on our behalf that have a deferred interest feature, even if such deferred payments would not provide cash necessary to enable us to pay current distributions to our stockholders. Under these investments, we would accrue interest over the life of the investment but would not receive the cash income from the investment until the end of the term. Our net investment income used to calculate the income portion of our investment fee, however, includes accrued interest. Thus, a portion of this incentive fee would be based on income that we have not yet received in cash. In addition, the “catch-up” portion of the incentive fee may encourage our Advisor to accelerate or defer interest payable by portfolio companies from one calendar quarter to another, potentially resulting in fluctuations in the timing and amounts of distributions. Our governing documents do not limit the number of debt investments we may make with deferred interest features or the proportion of our income we derive from such debt investments.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 which may limit the scope of investments available to us.</w:t>
      </w:r>
    </w:p>
    <w:p>
      <w:pPr>
        <w:spacing w:after="0" w:line="2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are prohibited under the 1940 Act from participating in certain transactions with our affiliates without the prior approval of our independent directors and, in some cases, of the SEC. Any person that owns, directly or indirectly, 5% or more of our outstanding voting securities is our affiliate for purposes of the 1940 Act, and we are generally prohibited from buying or selling any security from or to, or entering into certain “joint” transactions (which could include investments in the same portfolio company) with, such affiliates, absent the prior approval of our independent directors or, in certain cases, the SEC.</w:t>
      </w:r>
    </w:p>
    <w:p>
      <w:pPr>
        <w:spacing w:after="0" w:line="14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Advisor is considered to be our affiliate under the 1940 Act, as is any person that controls, or is under common control with us or our Advisor. We are generally prohibited from buying or selling any security from or to, or entering into “joint” transactions with, such affiliates without prior approval of our independent directors and, in some cases, exemptive relief from the SEC.</w:t>
      </w:r>
    </w:p>
    <w:p>
      <w:pPr>
        <w:spacing w:after="0" w:line="18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may, however, invest alongside other clients of our Advisor in certain circumstances where doing so is consistent with applicable law, SEC staff interpretations and/or exemptive relief issued by the SEC. For example, we may invest alongside such accounts consistent with guidance promulgated by the staff of the SEC permitting us and such other accounts to purchase interests in a single class of privately placed securities so long as certain conditions are met, including that our Advisor, acting on our behalf and on behalf of other clients, negotiates no term other than price. We may also invest alongside our Advisor’s other clients as otherwise permissible under regulatory guidance and applicable regulations. Such investments will be allocated in accordance with our Advisor’s allocation policy, and this allocation policy is periodically approved by our Advisor and reviewed by our independent directors. We expect that allocation determinations will be made similarly for other accounts sponsored or managed by our Advisor. If sufficient securities or loan amounts are available to satisfy our and each such account’s proposed demand, we expect that the opportunity will be allocated in accordance with our Advisor’s pre-transaction determination; however, if insufficient securities or loan amounts are available, the opportunity will generally be allocated pro rata based on each affiliate’s initial allocation in the asset class being allocated. We cannot assure you that investment opportunities will be allocated to us fairly or equitably in the short-term or over time.</w:t>
      </w:r>
    </w:p>
    <w:p>
      <w:pPr>
        <w:spacing w:after="0" w:line="15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November 27, 2017, we were granted exemptive relief from the SEC that permits greater flexibility to negotiate the terms of co-investments if our Board determines in advance that it would be advantageous for us to co-invest with other accounts sponsored or managed by our Advisor in a manner consistent with our investment objective, positions, policies, strategies and restrictions, as well as regulatory requirements and other relevant factors. We cannot assure you, however, that we will develop opportunities that comply with such limitations.</w:t>
      </w:r>
    </w:p>
    <w:p>
      <w:pPr>
        <w:spacing w:after="0" w:line="191"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In situations where co-investment with other accounts managed by our Advisor is not permitted or appropriate, our Advisor will need to decide which client will proceed with the investment. Our Advisor’s allocation policy provides, in such circumstances, for investments to be allocated to assure that all clients have fair and equitable access to such investment opportunities over time. Moreover, except in certain circumstances, we will be unable to invest in any issuer in which a fund managed by our Advisor has previously invested. Similar restrictions limit our ability to transact business with our officers or directors or their affiliates. These restrictions may limit the scope of investment opportunities that would otherwise be available to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valuation process for certain of our portfolio holdings creates a conflict of interest.</w:t>
      </w:r>
    </w:p>
    <w:p>
      <w:pPr>
        <w:spacing w:after="0" w:line="21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The majority of our portfolio investments are expected to be made in the form of securities that are not publicly traded. As a result, the Board will determine the fair value of these securities in good faith as described above in “— Because many of our investments typically are not and will not be in publicly traded securities, the value of our investments may not be readily determinable, which could adversely affect the determination of our NAV.” In connection with that determination, investment professionals from the Advisor may provide the Board with portfolio company valuations based upon the most recent portfolio company financial statements available and projected financial results of each portfolio company. The participation of the Advisor’s investment professionals in our valuation process could result in a conflict of interest as the Advisor’s management fee is based, in part, on our gross assets less cash and cash equivalents, and our incentive fees will be based, in part, on unrealized appreciation and depreciation on our investments.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37" w:name="page38"/>
    <w:bookmarkEnd w:id="37"/>
    <w:p>
      <w:pPr>
        <w:jc w:val="both"/>
        <w:spacing w:after="0" w:line="265" w:lineRule="auto"/>
        <w:rPr>
          <w:sz w:val="20"/>
          <w:szCs w:val="20"/>
          <w:color w:val="auto"/>
        </w:rPr>
      </w:pPr>
      <w:r>
        <w:rPr>
          <w:rFonts w:ascii="Arial" w:cs="Arial" w:eastAsia="Arial" w:hAnsi="Arial"/>
          <w:sz w:val="18"/>
          <w:szCs w:val="18"/>
          <w:b w:val="1"/>
          <w:bCs w:val="1"/>
          <w:i w:val="1"/>
          <w:iCs w:val="1"/>
          <w:color w:val="auto"/>
        </w:rPr>
        <w:t>Our Advisor’s liability is limited, and we have agreed to indemnify our Advisor against certain liabilities, which may lead our Advisor to act in a riskier manner on our behalf than it would when acting for its own account.</w:t>
      </w:r>
    </w:p>
    <w:p>
      <w:pPr>
        <w:spacing w:after="0" w:line="17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Under the Investment Management Agreement, our Advisor does not assume any responsibility to us other than to render the services called for under that agreement, and it is not responsible for any action of our Board in following or declining to follow our Advisor’s advice or recommendations. Under the terms of the Investment Management Agreement, our Advisor, its officers, members, personnel and any person controlling or controlled by our Advisor are not liable to us, any subsidiary of ours, our directors, our stockholders or any subsidiary’s stockholders or partners for acts or omissions performed in accordance with and pursuant to the Investment Management Agreement, except those resulting from acts constituting gross negligence, willful misconduct, bad faith or reckless disregard of our Advisor’s duties under the Investment Management Agreement. In addition, we have agreed to indemnify our Advisor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Management Agreement, except where attributable to gross negligence, willful misconduct, bad faith or reckless disregard of such person’s duties under the Investment Management Agreement. These protections may lead our Advisor to act in a riskier manner when acting on our behalf than it would when acting for its own account.</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If we are unable to manage our future growth effectively, we may be unable to achieve our investment objective, which could adversely affect our business, results of operations and financial condition and cause the value of your investment in us to decline.</w:t>
      </w:r>
    </w:p>
    <w:p>
      <w:pPr>
        <w:spacing w:after="0" w:line="17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Our ability to achieve our investment objective depends on our ability to achieve and sustain growth, which depends, in turn, on our Advisor’s direct origination capabilities and disciplined underwriting process in identifying, evaluating, financing, investing in and monitoring suitable companies that meet our investment criteria. Accomplishing this result on a cost-effective basis is largely a function of our Advisor’s marketing capabilities, management of the investment process, ability to provide efficient services and access to financing sources on acceptable terms. In addition to monitoring the performance of our existing investments, our Advisor may also be called upon to provide managerial assistance to our portfolio companies. These demands on their time may distract them or slow the rate of investment. If we fail to manage our future growth effectively, our business, results of operations and financial condition could be materially adversely affected and the value of your investment in us could decrease.</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Board may change our operating policies and strategies, including our investment objective, without prior notice or stockholder approval, the effects of which may adversely affect our business.</w:t>
      </w:r>
    </w:p>
    <w:p>
      <w:pPr>
        <w:spacing w:after="0" w:line="17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Board may modify or waive our current operating policies and strategies, including our investment objectives, without prior notice and without stockholder approval (provided that no such modification or waiver may change the nature of our business so as to cease to be, or withdraw our election as a BDC as provided by the 1940 Act without stockholder approval at a special meeting called upon written notice of not less than ten or more than sixty days before the date of such meeting). We cannot predict the effect any changes to our current operating policies and strategies would have on our business, results of operations or financial condition or on the value of our stock. However, the effects of any changes might adversely affect our business, any or all of which could negatively impact our ability to pay distributions or cause you to lose all or part of your investment in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operating results may fluctuate due to the nature of our business.</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could experience fluctuations in our quarterly and annual operating results due to a number of factors, some of which are beyond our control, including: our ability to make investments in companies that meet our investment criteria, the interest rate payable on our debt investments, the default rate on these investments, the level of our expenses, variations in, and the timing of, the recognition of realized and unrealized gains or losses, the degree to which we encounter competition in our markets and general economic conditions. For example, we have historically experienced greater investment activity during the second and fourth quarters relative to other periods. As a result of these factors, you should not rely on the results for any prior period as being indicative of our performance in future periods.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38" w:name="page39"/>
    <w:bookmarkEnd w:id="38"/>
    <w:p>
      <w:pPr>
        <w:jc w:val="both"/>
        <w:spacing w:after="0" w:line="366" w:lineRule="auto"/>
        <w:rPr>
          <w:sz w:val="20"/>
          <w:szCs w:val="20"/>
          <w:color w:val="auto"/>
        </w:rPr>
      </w:pPr>
      <w:r>
        <w:rPr>
          <w:rFonts w:ascii="Arial" w:cs="Arial" w:eastAsia="Arial" w:hAnsi="Arial"/>
          <w:sz w:val="15"/>
          <w:szCs w:val="15"/>
          <w:b w:val="1"/>
          <w:bCs w:val="1"/>
          <w:i w:val="1"/>
          <w:iCs w:val="1"/>
          <w:color w:val="auto"/>
        </w:rPr>
        <w:t>Our business plan and growth strategy depend to a significant extent upon our Advisor’s referral relationships. If our Advisor is unable to develop new or maintain existing relationships, or if these relationships fail to generate investment opportunities, our business could be materially adversely affected.</w:t>
      </w:r>
    </w:p>
    <w:p>
      <w:pPr>
        <w:spacing w:after="0" w:line="11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have historically depended on our Advisor’s referral relationships to generate investment opportunities. For us to achieve our future business objectives, members of our Advisor need to maintain these relationships with venture capital and private equity firms and management teams and legal firms, accounting firms, investment banks and other lenders, and we rely to a significant extent upon these relationships to provide us with investment opportunities. If they fail to maintain their existing relationships or develop new relationships with other firms or sources of investment opportunities, we may not be able to grow our investment portfolio. In addition, persons with whom our Advisor has relationships are not obligated to provide us with investment opportunities, and, therefore, there is no assurance that such relationships will lead to the origination of debt or other investments.</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Advisor can resign on 60 days’ notice, and we may not be able to find a suitable replacement within that time, resulting in a disruption in our operations that could adversely affect our business, results of operations or financial condition.</w:t>
      </w:r>
    </w:p>
    <w:p>
      <w:pPr>
        <w:spacing w:after="0" w:line="17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Under our Investment Management Agreement and our Administration Agreement, our Advisor has the right to resign at any time, upon not more than 60 days’ written notice, whether we have found a replacement or not. If our Advisor resigns, we may not be able to find a new investment adviser or administrator or hire internal management with similar expertise and ability to provide the same or equivalent services on acceptable terms within 60 days, or at all. If we are unable to do so, our operations are likely to be disrupted, our business, results of operations and financial condition and our ability to pay distributions may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Advisor and its affiliates. Even if we are able to retain comparable management, whether internal or external, the integration of new management and their lack of familiarity with our investment objective may result in additional costs and time delays that may adversely affect our business, results of operations or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Compliance with Section 404 of the Sarbanes-Oxley Act involves significant expenditures, and non-compliance with Section 404 of the Sarbanes-Oxley Act would adversely affect us and the market price of our common stock.</w:t>
      </w:r>
    </w:p>
    <w:p>
      <w:pPr>
        <w:spacing w:after="0" w:line="17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Under current SEC rules, we are required to report on our internal control over financial reporting pursuant to Section 404 of the Sarbanes-Oxley Act and related rules and regulations of the SEC. As a result, we incur additional expenses that negatively impact our financial performance and our ability to make distributions. This process also results in a diversion of management’s time and attention. We cannot be certain as to the timing of completion of our annual re-evaluation, testing and remediation actions or the impact of the same on our operations, and we cannot assure you that our internal control over financial reporting is or will be effective. In the event that we are unable to maintain compliance with Section 404 of the Sarbanes-Oxley Act and related rules, we and the market price of our securities may be adversely affected.</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distributions.</w:t>
      </w:r>
    </w:p>
    <w:p>
      <w:pPr>
        <w:spacing w:after="0" w:line="17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business is highly dependent on the Advisor and its affiliates’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39" w:name="page40"/>
    <w:bookmarkEnd w:id="39"/>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natural disasters such as earthquakes, floods, tornadoes and hurricanes;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disease pandemics;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Any of these events, could have a material adverse effect on our operating results and negatively affect the market price of our common stock and our ability to pay distributions to our stockholders.</w:t>
      </w:r>
    </w:p>
    <w:p>
      <w:pPr>
        <w:spacing w:after="0" w:line="17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these communications and information systems are subject to potential attacks, including through adverse events that threaten the confidentiality, integrity or availability of our information resources. These attacks, which may include cyber incidents, may involve a third party gaining unauthorized access to our communications or information systems for purposes of misappropriating assets, stealing confidential information, corrupting data or causing operational disruption. Any such attack could result in disruption to our business,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are not able to evaluate our future investments.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future investments will be selected by our Advisor, subject to the approval of its investment committee. Our stockholders do not have input into our Advisor’s investment decisions. As a result, our stockholders are unable to evaluate any of our future portfolio company investments. These factors increase the uncertainty, and thus the risk, of investing in our securities.</w:t>
      </w:r>
    </w:p>
    <w:p>
      <w:pPr>
        <w:spacing w:after="0" w:line="189"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17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 holdings in investment companies. Beyond our income tax diversification requirements, we do not have fixed guidelines for diversification, and our investments could be focused on relatively few portfolio companies.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19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To the extent that we assume large positions in the securities of a small number of issuers, our NAV may fluctuate to a greater extent than that of a diversified investment company as a result of changes in the financial condition or the market’s assessment of the issuer. If a significant investment in one or more portfolio companies fails to perform as expected, our financial results could be more negatively affected and the magnitude of the loss could be more significant than if we had made smaller investments in more portfolio companies. We may also be more susceptible to any single economic or regulatory occurrence than a diversified investment company.</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portfolio may be focused on a limited number of industries, which will subject us to a risk of significant loss if there is a downturn in a particular industry.</w:t>
      </w:r>
    </w:p>
    <w:p>
      <w:pPr>
        <w:spacing w:after="0" w:line="1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portfolio may be focused on a limited number of industries. As a result, a downturn in any particular industry in which we are invested could also significantly impact the aggregate returns we realize. Our Target Industries are susceptible to changes in government policy and economic assistance, which could adversely affect the returns we receive.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investments do not meet our performance expectations, you may not receive distributions.</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intend to make distributions of income on a monthly basis to our stockholders. We may not be able to achieve operating results that will allow us to make distributions at a specific level or increase the amount of these distributions from time to time. In addition, due to the asset coverage test applicable to us as a BDC, we may be limited in our ability to make distributions. Also, restrictions and provisions in any existing or future credit facilities may limit our ability to make distributions. If we do not distribute a certain percentage of our income each tax year as dividends to stockholders, we will suffer adverse tax consequences, including the possible loss of our ability to be subject to tax as a RIC.</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Most of our portfolio companies will need additional capital, which may not be readily available.</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portfolio companies typically require substantial additional financing to satisfy their continuing working capital and other capital requirements and service the interest and principal payments on our investments. We cannot predict the circumstances or market conditions under which our portfolio companies will seek additional capital. Each round of institutional equity financing is typically intended to provide a company with only enough capital to reach the next stage of development. It is possible that one or more of our portfolio companies will not be able to raise additional financing or may be able to do so only at a price or on terms that are unfavorable to the portfolio company, either of which would negatively impact our investment returns. Some of these companies may be unable to obtain sufficient financing from private investors, public capital markets or lenders, thereby requiring these companies to cease or curtail business operations. Accordingly, investing in these types of companies generally entails a higher risk of loss than investing in companies that do not have significant incremental capital raising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Following an initial investment in a portfolio company, we may have opportunities to make additional investments in that portfolio company as “follow-on” investments, in seeking to:</w:t>
      </w:r>
    </w:p>
    <w:p>
      <w:pPr>
        <w:spacing w:after="0" w:line="179"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or maintain in whole or in part our position as a creditor or equity ownership percentage in a portfolio company;</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preserve or enhance the value of our investment.</w:t>
      </w:r>
    </w:p>
    <w:p>
      <w:pPr>
        <w:spacing w:after="0" w:line="217"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We have discretion to make follow-on investments, subject to the availability of capital resources. Failure on our part to make follow-on investments may, in some circumstances, jeopardize the continued viability of a portfolio company and our initial investment, or may result in a missed opportunity for us to increase our participation in a successful portfolio company. Even if we have sufficient capital to make a desired follow-on investment, we may elect not to make a follow-on investment because we may not want to increase our level of risk, because we prefer other opportunities or because of regulatory or other considerations. Our ability to make follow-on investments may also be limited by our Advisors’ allocation policy.</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Economic recessions or downturns could adversely affect our business and that of our portfolio companies which may have an adverse effect on our business, results of operations and financial condition.</w:t>
      </w:r>
    </w:p>
    <w:p>
      <w:pPr>
        <w:spacing w:after="0" w:line="179"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General economic conditions may affect our activities and the operation and value of our portfolio companies. Economic slowdowns or recessions may result in a decrease of institutional equity investment, which would limit our lending opportunities. Furthermore, many of our portfolio companies are susceptible to economic or industry centric slowdowns or recessions and may be unable to repay our debt investments during these periods. Therefore, our non-performing assets are likely to increase and the value of our portfolio is likely to decrease during these periods. Adverse economic conditions may also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could also increase our funding costs, limit our access to the capital markets or result in a decision by lenders not to extend credit to us.</w:t>
      </w:r>
    </w:p>
    <w:p>
      <w:pPr>
        <w:spacing w:after="0" w:line="15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the portfolio company’s ability to meet its obligations under the loans that we hold. We may incur expenses to the extent necessary to recover our investment upon default or to negotiate new terms with a defaulting portfolio company. These events could harm our financial condition and operating results.</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period of market disruption may have a material adverse effect on our business, financial condition, results of operations and cash flows. In addition, unfavorable economic conditions, including rising interest rates, may also increase our funding costs, limit our access to capital markets or negatively impact our ability to obtain financing, particularly from the debt markets.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1" w:name="page42"/>
    <w:bookmarkEnd w:id="41"/>
    <w:p>
      <w:pPr>
        <w:jc w:val="both"/>
        <w:spacing w:after="0" w:line="366" w:lineRule="auto"/>
        <w:rPr>
          <w:sz w:val="20"/>
          <w:szCs w:val="20"/>
          <w:color w:val="auto"/>
        </w:rPr>
      </w:pPr>
      <w:r>
        <w:rPr>
          <w:rFonts w:ascii="Arial" w:cs="Arial" w:eastAsia="Arial" w:hAnsi="Arial"/>
          <w:sz w:val="15"/>
          <w:szCs w:val="15"/>
          <w:b w:val="1"/>
          <w:bCs w:val="1"/>
          <w:i w:val="1"/>
          <w:iCs w:val="1"/>
          <w:color w:val="auto"/>
        </w:rPr>
        <w:t>Our investment strategy focuses on investments in development-stage companies in our Target Industries, which are subject to many risks, including volatility, intense competition, shortened product life cycles and periodic downturns, and would be rated below “investment grade.”</w:t>
      </w:r>
    </w:p>
    <w:p>
      <w:pPr>
        <w:spacing w:after="0" w:line="11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intend to invest, under normal circumstances, most of the value of our total assets (including the amount of any borrowings for investment purposes) in development-stage companies, which may have relatively limited operating histories, in our Target Industries. Many of these companies may have narrow product lines and small market shares, compared to larger established, publicly owned firms, which tend to render them more vulnerable to competitors’ actions and market conditions, as well as general economic downturns. The revenues, income (or losses) and valuations of development-stage companies in our Target Industries can and often do fluctuate suddenly and dramatically. For these reasons, investments in our portfolio companies, if rated by one or more ratings agency, would typically be rated below “investment grade,” which refers to securities rated by ratings agencies below the four highest rating categories. These companies may also have more limited access to capital and higher funding costs. In addition, development-stage technology markets are generally characterized by abrupt business cycles and intense competition, and the competitive environment can change abruptly due to rapidly evolving technology. Therefore, our portfolio companies may face considerably more risk than companies in other industry sectors. Accordingly, these factors could impair their cash flow or result in other events, such as bankruptcy, which could limit their ability to repay their obligations to us and may materially adversely affect the return on, or the recovery of, our investments in these businesses.</w:t>
      </w:r>
    </w:p>
    <w:p>
      <w:pPr>
        <w:spacing w:after="0" w:line="3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Because of rapid technological change, the average selling prices of products and some services provided by development-stage companies in our Target Industries have historically decreased over their productive lives. These decreases could adversely affect their operating results and cash flow, their ability to meet obligations under their debt securities and the value of their equity securities. This could, in turn, materially adversely affect our business, financial condition and results of operations.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Any unrealized depreciation we experience on our debt investments may be an indication of future realized losses, which could reduce our income available for distribution.</w:t>
      </w:r>
    </w:p>
    <w:p>
      <w:pPr>
        <w:spacing w:after="0" w:line="17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a BDC, we are required to carry our investments at fair value, which is the market value of our investments or, if no market value is ascertainable, at the fair value as determined in good faith pursuant to procedures approved by our Board in accordance with our valuation policy. We are not permitted to maintain a reserve for debt investment losses. Decreases in the fair values of our investments, which can occur rapidly based upon developments affecting our portfolio companies, are recorded as unrealized depreciation. Any unrealized depreciation in our debt investments could be an indication of a portfolio company’s inability to meet its repayment obligations to us with respect to the affected debt investments. This could result in realized losses in the future and ultimately reduces our income available for distribution in future periods.</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If the assets securing the debt investments we make decrease in value, we may not have sufficient collateral to cover losses and may experience losses upon foreclosure.</w:t>
      </w:r>
    </w:p>
    <w:p>
      <w:pPr>
        <w:spacing w:after="0" w:line="17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believe our portfolio companies generally are and will be able to repay our debt investments from their available capital, from future capital-raising transactions or from cash flow from operations. However, to mitigate our credit risks, we typically take a security interest in all or a portion of the assets of our portfolio companies. There is a risk that the collateral securing our debt investments may decrease in value over time, may be difficult to appraise or sell in a timely manner and may fluctuate in value based upon the business and market conditions, including as a result of an inability of the portfolio company to raise additional capital, and, in some circumstances, our lien could be subordinated to claims of other creditors. In addition, deterioration of a portfolio company’s financial condition and prospects, including its inability to raise additional capital, may be accompanied by deterioration of the value of the collateral for the debt investment. Consequently, although such debt investment is secured, we may not receive principal and interest payments according to the debt investment’s terms and the value of the collateral may not be sufficient to recover our investment should we be forced to enforce our remedies.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2" w:name="page43"/>
    <w:bookmarkEnd w:id="42"/>
    <w:p>
      <w:pPr>
        <w:jc w:val="both"/>
        <w:ind w:firstLine="318"/>
        <w:spacing w:after="0" w:line="304" w:lineRule="auto"/>
        <w:rPr>
          <w:sz w:val="20"/>
          <w:szCs w:val="20"/>
          <w:color w:val="auto"/>
        </w:rPr>
      </w:pPr>
      <w:r>
        <w:rPr>
          <w:rFonts w:ascii="Arial" w:cs="Arial" w:eastAsia="Arial" w:hAnsi="Arial"/>
          <w:sz w:val="15"/>
          <w:szCs w:val="15"/>
          <w:color w:val="auto"/>
        </w:rPr>
        <w:t>In addition, because we invest in development-stage companies in our Target Industries, a substantial portion of the assets securing our investment may be in the form of intellectual property, if any, inventory, equipment, cash and accounts receivables. Intellectual property, if any, which secures a debt investment could lose value if the company’s rights to the intellectual property are challenged or if the company’s license to the intellectual property is revoked or expires. In addition, in lieu of a security interest in a portfolio company’s intellectual property we may sometimes obtain a security interest in all assets of the portfolio company other than intellectual property and also obtain a commitment by the portfolio company not to grant liens to any other creditor on the company’s intellectual property. In these cases, we may have additional difficulty recovering our principal in the event of a foreclosure. Similarly, any equipment securing our debt investments may not provide us with the anticipated security if there are changes in technology or advances in new equipment that render the particular equipment obsolete or of limited value or if the company fails to adequately maintain or repair the equipment. Any one or more of the preceding factors could materially impair our ability to recover principal in a foreclosure, which may adversely affect our ability to pay distributions in the future.</w:t>
      </w:r>
    </w:p>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may choose to waive or defer enforcement of covenants in the debt securities held in our portfolio, which may cause us to lose all or part of our investment in these companies.</w:t>
      </w:r>
    </w:p>
    <w:p>
      <w:pPr>
        <w:spacing w:after="0" w:line="17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structure the debt investments in our portfolio companies to include business and financial covenants placing affirmative and negative obligations on the operation of such companies’ business and financial condition. However, from time to time we may elect to waive breaches of these covenants, including our right to payment, or waive or defer enforcement of remedies, such as acceleration of obligations or foreclosure on collateral, depending upon the financial condition and prospects of the particular portfolio company. These actions may reduce the likelihood of our receiving the full amount of future payments of interest or principal and be accompanied by a deterioration in the value of the underlying collateral as many of these companies may have limited financial resources, may be unable to meet future obligations and may go bankrupt. These events could harm our financial condition and operating results.</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 and if we need to sell any of our investments, we may not be able to do so at a favorable price. As a result, we may suffer losses.</w:t>
      </w:r>
    </w:p>
    <w:p>
      <w:pPr>
        <w:spacing w:after="0" w:line="17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plan to generally invest in debt investments with terms of up to four years and hold such investments until maturity, unless earlier prepaid, and we do not expect that our related holdings of equity securities will provide us with liquidity opportunities in the near-term. We expect to primarily invest in companies whose securities are not publicly-traded, and whose securities are subject to legal and other restrictions on resale or are otherwise less liquid than publicly traded securities. The illiquidity of these investments may make it difficult for us to sell these investments when desired. We may also face other restrictions on our ability to liquidate an investment in a public portfolio company to the extent that we possess material non-public information regarding the portfolio company. In addition, if we are required to liquidate all or a portion of our portfolio quickly, we may realize significantly less than the value at which we had previously recorded these investments. As a result, we do not expect to dispose of our investments in the near term. However, we may be required to do so in order to maintain our qualification as a BDC and as a RIC if we do not satisfy one or more of the applicable criteria under the respective regulatory frameworks. Because most of our investments are illiquid, we may be unable to dispose of them, in which case we could fail to qualify as a RIC and/or BDC, or we may not be able to dispose of them at favorable prices, and as a result, we may suffer losses.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disposition of our debt investments may result in contingent liabilities.</w:t>
      </w:r>
    </w:p>
    <w:p>
      <w:pPr>
        <w:spacing w:after="0" w:line="2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connection with the disposition of a debt investment, we may be required to make representations about the business and financial affairs of the portfolio company typical of those made in connection with the sale of a business. We may also be required to indemnify the purchasers of such debt investment to the extent that any such representations turn out to be inaccurate or with respect to potential liabilities. These arrangements may result in contingent liabilities that ultimately result in funding obligations that we must satisfy through our return of distributions previously made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plan to invest primarily in debt investments issued by our portfolio companies. Some of our portfolio companies are permitted to have other debt that ranks equally with, or senior to, our debt investments in the portfolio company. By their terms, these debt instruments may provide that the holders thereof are entitled to receive payment of interest or principal on or before the dates on which we are entitled to receive payments in respect of our debt investments. These debt instruments may prohibit the portfolio companies from paying interest on or repaying our investments in the event of, and during, the continuance of a default under the debt instruments. In addition, in the event of insolvency, liquidation, dissolution, reorganization or bankruptcy of a portfolio company, holders of debt instruments ranking senior to our investment in that portfolio company would typically be entitled to receive payment in full before we receive any payment in respect of our investment. After repaying senior creditors, a portfolio company may not have any remaining assets to use for repaying its obligation to us. In the case of debt ranking equally with our debt investments, we would have to share on a pro rata basis any distributions with other creditors holding such debt in the event of an insolvency, liquidation, dissolution, reorganization or bankruptcy.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i w:val="1"/>
          <w:iCs w:val="1"/>
          <w:color w:val="auto"/>
        </w:rPr>
        <w:t>There may be circumstances where our debt investments could be subordinated to claims of other creditors, or we could be subject to lender liability claims.</w:t>
      </w:r>
    </w:p>
    <w:p>
      <w:pPr>
        <w:spacing w:after="0" w:line="25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Even though certain of our investments are structured as senior debt investments, if one of our portfolio companies were to go bankrupt, depending on the facts and circumstances, including the extent to which we actually provided managerial assistance to that portfolio company, a bankruptcy court might recharacterize our debt investment and subordinate all or a portion of our claim to that of other creditors or an out-of-court restructuring might enable other lenders to become effectively senior to our claims. We may also be subject to lender liability claims for actions taken by us with respect to a portfolio company’s business, including in rendering significant managerial assistance, or instances where we exercise control over the portfolio company.</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An investment strategy that primarily includes investments in privately held companies presents certain challenges, including a lack of available information about these companies, a dependence on the talents and efforts of only a few key portfolio company personnel and a greater vulnerability to economic downturns.</w:t>
      </w:r>
    </w:p>
    <w:p>
      <w:pPr>
        <w:spacing w:after="0" w:line="18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currently invest, and plan to invest, in privately held companies. Generally, very little public information exists about these companies, and we are required to rely on the ability of our Advisor to obtain adequate 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a smaller market presence than larger competitors. Thus, they are generally more vulnerable to economic downturns and may experience substantial variations in operating results. These factors could affect our investment returns.</w:t>
      </w:r>
    </w:p>
    <w:p>
      <w:pPr>
        <w:spacing w:after="0" w:line="15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our success depends, in large part, upon the abilities of the key management personnel of our portfolio companies, who are responsible for the day-to-day operations of our portfolio companies. Competition for qualified personnel is intense at any stage of a company’s development. The loss of one or more key managers can hinder or delay a company’s implementation of its business plan and harm its financial condition. Our portfolio companies may not be able to attract and retain qualified managers and personnel. Any inability to do so may negatively affect our investment returns.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Advisor may, from time to time, possess material non-public information regarding our portfolio companies, limiting our investment discretion.</w:t>
      </w:r>
    </w:p>
    <w:p>
      <w:pPr>
        <w:spacing w:after="0" w:line="25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Officers and employees of our Advisor may serve as directors of, or in a similar capacity with, our portfolio companies, the securities of which are purchased or sold on our behalf. If we obtain material non-public information with respect to such portfolio companies, or we become subject to trading restrictions under the internal trading policies of those portfolio companies or as a result of applicable law or regulations, we could be prohibited for a period of time from purchasing or disposing of the securities of such portfolio companies, and this prohibition may have an adverse effect on us.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may hold the debt securities of leveraged companies that may, due to the significant volatility of such companies, experience bankruptcy or similar financial distress.</w:t>
      </w:r>
    </w:p>
    <w:p>
      <w:pPr>
        <w:spacing w:after="0" w:line="17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Leveraged companies may experience bankruptcy, receivership or similar financial distress. The debt investments of distressed companies may not produce income, may require us to bear certain expenses or to make additional advances in order to protect our investment and may subject us to uncertainty as to when, in what manner (e.g., through liquidation, reorganization, receivership or bankruptcy) and for what value such distressed debt will eventually be satisfied. Proceeds received from such proceedings may not be income that satisfies the Qualifying Income Test for RICs and may not be in an amount sufficient to repay such expenses or advances. In the event that a plan of reorganization is adopted or a receivership is established, in exchange for the debt investment we currently hold, we may receive non-cash proceeds, including equity securities or license or royalty agreements with contingent payments, which may require significantly more of our management’s time and attention. In addition, if we take control of a distressed company in connection with a reorganization, it could require additional costs and significant amounts of our management’s time and attention.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4" w:name="page45"/>
    <w:bookmarkEnd w:id="44"/>
    <w:p>
      <w:pPr>
        <w:jc w:val="both"/>
        <w:ind w:firstLine="318"/>
        <w:spacing w:after="0" w:line="304" w:lineRule="auto"/>
        <w:rPr>
          <w:sz w:val="20"/>
          <w:szCs w:val="20"/>
          <w:color w:val="auto"/>
        </w:rPr>
      </w:pPr>
      <w:r>
        <w:rPr>
          <w:rFonts w:ascii="Arial" w:cs="Arial" w:eastAsia="Arial" w:hAnsi="Arial"/>
          <w:sz w:val="15"/>
          <w:szCs w:val="15"/>
          <w:color w:val="auto"/>
        </w:rPr>
        <w:t>If a portfolio company enters a bankruptcy process, we will be subject to a number of significant inherent risks. Many events in a bankruptcy proceeding are the product of contested matters and adversarial proceedings and are beyond the control of the creditors. A bankruptcy filing by an issuer may adversely and permanently affect the issuer. If the proceeding is converted to a liquidation, the value of the issuer may not equal the liquidation value that was believed to exist at the time of the investment. The duration of a bankruptcy proceeding is also difficult to predict, and a creditor’s return on investment can be adversely affected by delays until the plan of reorganization or liquidation ultimately becomes effective. The administrative costs of a bankruptcy proceeding are frequently high and would be paid out of the debtor’s estate prior to any return to creditors. Because the standards for classification of claims under bankruptcy law are vague, our influence with respect to the class of securities or other obligations we own may be lost by increases in the number and amount of claims in the same class or by different classification and treatment. In the early stages of the bankruptcy process, it is often difficult to estimate the extent of, or even to identify, any contingent claims that might be made. In addition, certain claims that have priority by law (for example, claims for taxes) may be substantial.</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Prepayments of our debt investments by our portfolio companies could adversely impact our results of operations and reduce our return on equity.</w:t>
      </w:r>
    </w:p>
    <w:p>
      <w:pPr>
        <w:spacing w:after="0" w:line="252"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are subject to the risk that the investments we make in our portfolio companies may be repaid prior to maturity. For example, most of our debt investments have historically been repaid prior to maturity by our portfolio companies. At the time of a liquidity event, such as a sale of the business, refinancing or public offering, many of our portfolio companies have availed themselves of the opportunity to repay our debt investments prior to maturity. Our investments generally allow for repayment at any time subject to certain penalties. When this occurs, we generally reinvest these proceeds in temporary investments, pending their future investment in new portfolio companies. These temporary investments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elects to prepay amounts owed to us. Additionally, prepayments could negatively impact our return on equity, which could result in a decline in the market price of our common stock.</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business and growth strategy could be adversely affected if government regulations, priorities and resources impacting the industries in which our portfolio companies operate change.</w:t>
      </w:r>
    </w:p>
    <w:p>
      <w:pPr>
        <w:spacing w:after="0" w:line="179"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Some of our portfolio companies operate in industries that are highly regulated by federal, state and/or local agencies. Changes in existing laws, rules or regulations, or judicial or administrative interpretations thereof, or uncertainty regarding such changes or new laws, rules or regulations could have an adverse impact on the business and industries of our portfolio companies. In addition, changes in government priorities or limitations on government resources could also adversely impact our portfolio companies. We are unable to predict whether any such changes in laws, rules or regulations will occur and, if they do occur, the impact of these changes on our portfolio companies and our investment returns.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companies operating in the technology industry are subject to risks particular to that industry.</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part of our investment strategy, we have invested, and plan to invest in the future, in companies in the technology industry. Such portfolio companies face intense competition as their businesses are rapidly evolving and intensely competitive, and are subject to changing technology, shifting user needs, and frequent introductions of new products and services. The growth of certain technology sectors in which we focus (such as communications, networking, data storage, software, cloud computing, and internet and media) into a variety of new fields implicates new regulatory issues and may result in our portfolio companies in such sectors being subject to new regulations.</w:t>
      </w:r>
    </w:p>
    <w:p>
      <w:pPr>
        <w:spacing w:after="0" w:line="19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Portfolio companies in the technology industry may also have a limited number of suppliers of necessary components or a limited number of manufacturers for their products, and therefore face a risk of disruption to their manufacturing process if they are unable to find alternative suppliers when needed. In addition, litigation regarding intellectual property rights is common in the sectors of the technology industry in which we focus. See “–If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 Any of these factors could materially and adversely affect the operations of a portfolio company in this industry and, in turn, impair our ability to timely collect principal and interest payments owed to us.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5" w:name="page46"/>
    <w:bookmarkEnd w:id="45"/>
    <w:p>
      <w:pPr>
        <w:jc w:val="both"/>
        <w:spacing w:after="0" w:line="265" w:lineRule="auto"/>
        <w:rPr>
          <w:sz w:val="20"/>
          <w:szCs w:val="20"/>
          <w:color w:val="auto"/>
        </w:rPr>
      </w:pPr>
      <w:r>
        <w:rPr>
          <w:rFonts w:ascii="Arial" w:cs="Arial" w:eastAsia="Arial" w:hAnsi="Arial"/>
          <w:sz w:val="18"/>
          <w:szCs w:val="18"/>
          <w:b w:val="1"/>
          <w:bCs w:val="1"/>
          <w:i w:val="1"/>
          <w:iCs w:val="1"/>
          <w:color w:val="auto"/>
        </w:rPr>
        <w:t>Our portfolio companies operating in the life science industry are subject to extensive government regulation and certain other risks particular to that industry.</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part of our investment strategy, we have invested, and plan to invest in the future, in companies in the life science industry.</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Such portfolio companies are subject to extensive regulation by the Food and Drug Administration and to a lesser extent, other federal and state agencies. If any of these portfolio companies fail to comply with applicable regulations, they could be subject to significant penalties and claims that could materially and adversely affect their operations. In addition, new laws, regulations or judicial interpretations of existing laws and regulations might adversely affect a portfolio company in this industry.</w:t>
      </w:r>
    </w:p>
    <w:p>
      <w:pPr>
        <w:spacing w:after="0" w:line="19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successful and timely implementation of the business model of life science companies depends on their ability to adapt to changing technologies and introduce new products. The success of new product offerings will depend, in turn, on many factors, including the ability to properly anticipate and satisfy customer needs, obtain regulatory approvals on a timely basis, develop and manufacture products in an economic and timely manner, obtain or maintain advantageous positions with respect to intellectual property, and differentiate products from those of competitors.</w:t>
      </w:r>
    </w:p>
    <w:p>
      <w:pPr>
        <w:spacing w:after="0" w:line="17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Further, the development of products (including medical devices or drugs) by life science companies requires significant research and development, clinical trials and regulatory approvals. The results of product development efforts may be affected by a number of factors, including the ability to innovate, develop and manufacture new products, complete clinical trials, obtain regulatory approvals and reimbursement by insurers in the United States (including Medicare and Medicaid) and abroad, or gain and maintain market approval of products. In addition, patents attained by others can preclude or delay the commercialization of a product. There can be no assurance that any products now in development will achieve technological feasibility, obtain regulatory approval, or gain market acceptance. Failure can occur at any point in the development process, including after significant funds have been invested. Products may fail to reach the market or may have only limited commercial success because of efficacy or safety concerns, failure to achieve positive clinical outcomes, inability to obtain necessary regulatory approvals, failure to achieve market adoption, limited scope of approved uses, excessive costs to manufacture, failure to establish or maintain intellectual property rights, infringement by others of a company’s intellectual property rights, or infringement by a company of intellectual property rights of others.</w:t>
      </w:r>
    </w:p>
    <w:p>
      <w:pPr>
        <w:spacing w:after="0" w:line="18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Portfolio companies in the life science industry may also have a limited number of suppliers of necessary components or a limited number of manufacturers for their products, and therefore face a risk of disruption to their manufacturing process if they are unable to find alternative suppliers when needed. Any of these factors could materially and adversely affect the operations of a portfolio company in this industry and, in turn, impair our ability to timely collect principal and interest payments owed to us.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portfolio companies operating in the healthcare information and services industry are subject to extensive government regulation and certain other risks particular to that industry.</w:t>
      </w:r>
    </w:p>
    <w:p>
      <w:pPr>
        <w:spacing w:after="0" w:line="17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part of our investment strategy, we have invested, and plan to invest in the future, in companies in the healthcare information and services industry. Such portfolio companies provide technology to companies that are subject to extensive regulation, including Medicare and Medicaid payment rules and regulation, the False Claims Act and federal and state laws regarding the collection, use and disclosure of patient health information and the storage, handling and administration of pharmaceuticals. If any of our portfolio companies or the companies to which they provide such technology fail to comply with applicable regulations, they could be subject to significant penalties and claims that could materially and adversely affect their operations. Portfolio companies in the healthcare information or services industry are also subject to the risk that changes in applicable regulations will render their technology obsolete or less desirable in the marketplace.</w:t>
      </w:r>
    </w:p>
    <w:p>
      <w:pPr>
        <w:spacing w:after="0" w:line="19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Portfolio companies in the healthcare information and services industry may also have a limited number of suppliers of necessary components or a limited number of manufacturers for their products, and therefore face a risk of disruption to their manufacturing process if they are unable to find alternative suppliers when needed. Any of these factors could materially and adversely affect the operations of a portfolio company in this industry and, in turn, impair our ability to timely collect principal and interest payments owed to us.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6" w:name="page47"/>
    <w:bookmarkEnd w:id="46"/>
    <w:p>
      <w:pPr>
        <w:jc w:val="both"/>
        <w:spacing w:after="0" w:line="265" w:lineRule="auto"/>
        <w:rPr>
          <w:sz w:val="20"/>
          <w:szCs w:val="20"/>
          <w:color w:val="auto"/>
        </w:rPr>
      </w:pPr>
      <w:r>
        <w:rPr>
          <w:rFonts w:ascii="Arial" w:cs="Arial" w:eastAsia="Arial" w:hAnsi="Arial"/>
          <w:sz w:val="18"/>
          <w:szCs w:val="18"/>
          <w:b w:val="1"/>
          <w:bCs w:val="1"/>
          <w:i w:val="1"/>
          <w:iCs w:val="1"/>
          <w:color w:val="auto"/>
        </w:rPr>
        <w:t>Our investments in the clean technology industry are subject to many risks, including volatility, intense competition, unproven technologies, periodic downturns and potential litigation.</w:t>
      </w:r>
    </w:p>
    <w:p>
      <w:pPr>
        <w:spacing w:after="0" w:line="179"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investments in clean technology, or cleantech, companies are subject to substantial operational risks, such as underestimated cost projections, unanticipated operation and maintenance expenses, loss of government subsidies, and inability to deliver cost-effective alternative energy solutions compared to traditional energy products. In addition, energy companies employ a variety of means of increasing cash flow, including increasing utilization of existing facilities, expanding operations through new construction or acquisitions, or securing additional long-term contracts. Thus, some energy companies may be subject to construction risk, acquisition risk or other risks arising from their specific business strategies. Furthermore, production levels for solar, wind and other renewable energies may be dependent upon adequate sunlight, wind, or biogas production, which can vary from market to market and period to period, resulting in volatility in production levels and profitability. In addition, our cleantech companies may have narrow product lines and small market shares, which tend to render them more vulnerable to competitors’ actions and market conditions, as well as to general economic downturns. The revenues, income (or losses) and valuations of clean technology companies can and often do fluctuate suddenly and dramatically and the markets in which clean technology companies operate are generally characterized by abrupt business cycles and intense competition. Demand for cleantech and renewable energy is also influenced by the available supply and prices for other energy products, such as coal, oil and natural gas. A decrease in prices in these energy products could reduce demand for alternative energy. Cleantech companies face potential litigation, including significant warranty and product liability claims, as well as class action and government claims. Such litigation could adversely affect the business and results of operations of our cleantech portfolio companies.</w:t>
      </w:r>
    </w:p>
    <w:p>
      <w:pPr>
        <w:spacing w:after="0" w:line="3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Cleantech companies are subject to extensive government regulation and certain other risks particular to the sectors in which they operate and our business and growth strategy could be adversely affected if government regulations, priorities and resources impacting such sectors change or if our portfolio companies fail to comply with such regulations.</w:t>
      </w:r>
    </w:p>
    <w:p>
      <w:pPr>
        <w:spacing w:after="0" w:line="18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As part of our investment strategy we invest in portfolio companies in cleantech sectors that may be subject to extensive regulation by foreign, U.S. federal, state and/or local agencies. Changes in existing laws, rules or regulations, or judicial or administrative interpretations thereof, uncertainty regarding such changes or new laws, rules or regulations could have an adverse impact on the business and industries of our portfolio companies. In addition, changes in government priorities or limitations on government resources could also adversely impact our portfolio companies. We are unable to predict whether any such changes in laws, rules or regulations will occur and, if they do occur, the impact of these changes on our portfolio companies and our investment returns. Furthermore, if any of our portfolio companies fail to comply with applicable regulations, they could be subject to significant penalties and claims that could materially and adversely affect their operations. Our portfolio companies may be subject to the expense, delay and uncertainty of the regulatory approval process for their products and, even if approved, these products may not be accepted in the marketplace.</w:t>
      </w:r>
    </w:p>
    <w:p>
      <w:pPr>
        <w:spacing w:after="0" w:line="156"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In particular, there is considerable uncertainty about whether foreign, U.S., state and/or local governmental entities will enact or maintain legislation or regulatory programs that mandate reductions in greenhouse gas emissions or provide incentives for cleantech companies. Without such regulatory policies, investments in cleantech companies may not be economical and financing for cleantech companies may become unavailable, which could materially adversely affect the ability of our portfolio companies to repay the debt they owe to us. Any of these factors could materially and adversely affect the operations and financial condition of a portfolio company and, in turn, the ability of the portfolio company to repay the debt they owe to us.</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If our portfolio companies are unable to commercialize their technologies, products, business concepts or services, the returns on our investments could be adversely affected.</w:t>
      </w:r>
    </w:p>
    <w:p>
      <w:pPr>
        <w:spacing w:after="0" w:line="17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value of our investments in our portfolio companies may decline if our portfolio companies are not able to commercialize their technology, products, business concepts or services. Additionally, although some of our portfolio companies may already have a commercially successful product or product line at the time of our investment, technology-related products and services often have a more limited market or life span than products in other industries. Thus, the ultimate success of these companies often depends on their ability to innovate continually in increasingly competitive markets. If they are unable to do so, our investment returns could be adversely affected and their ability to service their debt obligations to us over the life of a loan could be impaired. Our portfolio companies may be unable to acquire or develop successful new technologies and the intellectual property they currently hold may not remain viable. Even if our portfolio companies are able to develop commercially viable products, the market for new products and services is highly competitive and rapidly changing. Neither our portfolio companies nor we have any control over the pace of technology development. Commercial success is difficult to predict, and the marketing efforts of our portfolio companies may not be successful.</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Our portfolio companies may rely upon licenses for all or part of their intellectual property.</w:t>
      </w:r>
    </w:p>
    <w:p>
      <w:pPr>
        <w:spacing w:after="0" w:line="217"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A portfolio company may license all or part of its intellectual property from another unrelated party. While the portfolio company may continue development on that licensed intellectual property, it can be difficult to ascertain who has title to the intellectual property. We may also rely upon the portfolio company’s management team’s representations as to the nature of the licensing agreement. There are implications in workouts and in bankruptcy where intellectual property is not wholly owned by a portfolio company. Further, the licensor may have an actual or contingent claim on the intellectual property (for instance, a payment due upon change in control) that would supersede other claims in that asset in certain situations.</w:t>
      </w:r>
    </w:p>
    <w:p>
      <w:pPr>
        <w:spacing w:after="0" w:line="177" w:lineRule="exact"/>
        <w:rPr>
          <w:sz w:val="20"/>
          <w:szCs w:val="20"/>
          <w:color w:val="auto"/>
        </w:rPr>
      </w:pPr>
    </w:p>
    <w:p>
      <w:pPr>
        <w:jc w:val="both"/>
        <w:spacing w:after="0" w:line="366" w:lineRule="auto"/>
        <w:rPr>
          <w:sz w:val="20"/>
          <w:szCs w:val="20"/>
          <w:color w:val="auto"/>
        </w:rPr>
      </w:pPr>
      <w:r>
        <w:rPr>
          <w:rFonts w:ascii="Arial" w:cs="Arial" w:eastAsia="Arial" w:hAnsi="Arial"/>
          <w:sz w:val="15"/>
          <w:szCs w:val="15"/>
          <w:b w:val="1"/>
          <w:bCs w:val="1"/>
          <w:i w:val="1"/>
          <w:iCs w:val="1"/>
          <w:color w:val="auto"/>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spacing w:after="0" w:line="110"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Our future success and competitive position depends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that may be available in a downside scenario to repay our debt investments. Our portfolio companies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w:t>
      </w:r>
    </w:p>
    <w:p>
      <w:pPr>
        <w:spacing w:after="0" w:line="18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Such litigation could result in substantial costs and diversion of resources. Similarly, if a portfolio company is found to infringe or misappropriate a third party’s patent or other proprietary rights, it could be required to pay damages to the third party, alter its products or processes, obtain a license from the third 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the value of any collateral securing our investment.</w:t>
      </w:r>
    </w:p>
    <w:p>
      <w:pPr>
        <w:spacing w:after="0" w:line="19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In some cases, we collateralize our debt investments with a secured collateral position in a portfolio company's assets, which may include a negative pledge or, to a lesser extent, no security interest on their intellectual property. In the event of a default on a debt investment, the intellectual property of the portfolio company would most likely be liquidated to provide proceeds to pay the creditors of the portfolio company. There can be no assurance that our security interest, if any, in the proceeds of the intellectual property will be enforceable in a court of law or bankruptcy court or that there will not be others with senior or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credit interests.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control any of our portfolio companies.</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do not control, or expect to control in the future, any of our portfolio companies, even though our debt agreements may contain certain restrictive covenants that limit the business and operations of our portfolio companies. We also do not maintain, or intend to maintain in the future, a control position to the extent we own equity interests in any portfolio company. As a result, we are subject to the risk that a portfolio company in which we invest may make business decisions with which we disagree and the management of such company, as representatives of the holders of their common equity, may take risks or otherwise act in ways that do not serve our interests as debt investors. Due to the lack of liquidity of the investments that we typically hold in our portfolio companies, we may not be able to dispose of our investments in the event we disagree with the actions of a portfolio company and we may therefore, suffer a decrease in the value of our investments.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i w:val="1"/>
          <w:iCs w:val="1"/>
          <w:color w:val="auto"/>
        </w:rPr>
        <w:t>We may invest in foreign portfolio companies or secure our investments with the assets of our portfolio companies’ foreign subsidiaries.</w:t>
      </w:r>
    </w:p>
    <w:p>
      <w:pPr>
        <w:spacing w:after="0" w:line="22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may invest in securities of foreign companies. Additionally, certain debt investments consisting of secured loans to portfolio companies with headquarters and primary operations located within the United States may be secured by the assets of a portfolio company’s foreign subsidiary. Investments involving foreign companies may involve greater risks. These risks include: (i) less publicly available information; (ii) varying levels of governmental regulation and supervision; and (iii) the difficulty of enforcing legal rights in a foreign jurisdiction and uncertainties as to the status, interpretation and application of laws. Moreover, foreign companies are generally not subject to uniform accounting, auditing and financial reporting standards, practices and requirements comparable to those applicable to United States companies. Debt investments secured by the assets of a portfolio company’s foreign subsidiary may be subject to various laws enacted in their home countries for the protection of debtors or creditors, which could adversely affect our ability to recover amounts owed. These insolvency considerations will differ depending on the country in which each foreign subsidiary is located and may differ depending on whether the foreign subsidiary is a non-sovereign or a sovereign entity. The economies of individual non-U.S. countries may also differ from the U.S. economy in such respects as growth of gross domestic product, rate of inflation, volatility of currency exchange rates, depreciation, capital reinvestment, resources self-sufficiency and balance of payments position. Accordingly, debt investments secured by the assets of a portfolio company’s foreign subsidiary could face risks which would not pertain to debt investments solely in U.S. portfolio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expected returns on warrants received in connection with our debt investments.</w:t>
      </w:r>
    </w:p>
    <w:p>
      <w:pPr>
        <w:spacing w:after="0" w:line="21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As discussed above, we generally receive warrants in connection with our debt investments. If we do not receive the returns that are anticipated on the warrants, our investment returns on our portfolio companies, and the value of your investment in us, may be lower than expected.</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currently invest a portion of our capital in high-quality short-term investments, which generate lower rates of return than those expected from investments made in accordance with our investment objective.</w:t>
      </w:r>
    </w:p>
    <w:p>
      <w:pPr>
        <w:spacing w:after="0" w:line="1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currently invest a portion of our capital in cash, cash equivalents, U.S. government securities, money market funds and other high-quality short-term investments. These securities may earn yields substantially lower than the income that we anticipate receiving once these proceeds are fully invested in accordance with our investment objective.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3" w:lineRule="exact"/>
        <w:rPr>
          <w:sz w:val="20"/>
          <w:szCs w:val="20"/>
          <w:color w:val="auto"/>
        </w:rPr>
      </w:pPr>
    </w:p>
    <w:p>
      <w:pPr>
        <w:ind w:right="680"/>
        <w:spacing w:after="0" w:line="265" w:lineRule="auto"/>
        <w:rPr>
          <w:sz w:val="20"/>
          <w:szCs w:val="20"/>
          <w:color w:val="auto"/>
        </w:rPr>
      </w:pPr>
      <w:r>
        <w:rPr>
          <w:rFonts w:ascii="Arial" w:cs="Arial" w:eastAsia="Arial" w:hAnsi="Arial"/>
          <w:sz w:val="18"/>
          <w:szCs w:val="18"/>
          <w:b w:val="1"/>
          <w:bCs w:val="1"/>
          <w:i w:val="1"/>
          <w:iCs w:val="1"/>
          <w:color w:val="auto"/>
        </w:rPr>
        <w:t>There is a risk that investors in our equity securities may not receive distributions, that our distributions may not grow over time or that a portion of distributions paid to you may be a return of capital.</w:t>
      </w:r>
    </w:p>
    <w:p>
      <w:pPr>
        <w:spacing w:after="0" w:line="179"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adversely affected by the impact of one or more risk factors described in this report. In addition, due to the asset coverage test applicable to us as a BDC, we may be limited in our ability to make distributions. All distributions will be paid at the discretion of our Board and will depend on our earnings, our financial condition, maintenance of our ability to be subject to tax as a RIC, compliance with BDC regulation and such other factors as our Board may deem relevant from time to time. We cannot assure you that we will pay distributions to our stockholders in the future. Further, if we invest a greater amount of assets in equity securities that do not pay current dividends, the amount available for distribution could be reduced.</w:t>
      </w:r>
    </w:p>
    <w:p>
      <w:pPr>
        <w:spacing w:after="0" w:line="15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an annual basis, we must determine the extent to which any distributions we made were paid out of current or accumulated earnings, recognized capital gains or capital. Distributions that represent a return of capital (which is the return of your original investment in us, after subtracting sales load, fees and expenses directly or indirectly paid by you) rather than a distribution from earnings or profits, reduce your basis in our stock for U.S. federal income tax purposes, which may result in higher tax liability when the shares are sold, even if they have not increased in value or have lost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price may be volatile and may decrease substantially.</w:t>
      </w:r>
    </w:p>
    <w:p>
      <w:pPr>
        <w:spacing w:after="0" w:line="21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trading price of our common stock may fluctuate substantially and the liquidity of our common stock may be limited, in each case depending on many factors, some of which are beyond our control and may not be directly related to our operating performance. These factors include the following:</w:t>
      </w:r>
    </w:p>
    <w:p>
      <w:pPr>
        <w:spacing w:after="0" w:line="158" w:lineRule="exact"/>
        <w:rPr>
          <w:sz w:val="20"/>
          <w:szCs w:val="20"/>
          <w:color w:val="auto"/>
        </w:rPr>
      </w:pPr>
    </w:p>
    <w:p>
      <w:pPr>
        <w:ind w:left="660" w:hanging="33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our earnings or fluctuations in our operating results;</w:t>
      </w:r>
    </w:p>
    <w:p>
      <w:pPr>
        <w:spacing w:after="0" w:line="217" w:lineRule="exact"/>
        <w:rPr>
          <w:rFonts w:ascii="Arial" w:cs="Arial" w:eastAsia="Arial" w:hAnsi="Arial"/>
          <w:sz w:val="18"/>
          <w:szCs w:val="18"/>
          <w:color w:val="auto"/>
        </w:rPr>
      </w:pPr>
    </w:p>
    <w:p>
      <w:pPr>
        <w:ind w:left="660" w:hanging="33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9" w:name="page50"/>
    <w:bookmarkEnd w:id="49"/>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in the market for BDCs from time to time;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investor demand for our shares of common stock;</w:t>
      </w:r>
    </w:p>
    <w:p>
      <w:pPr>
        <w:spacing w:after="0" w:line="217" w:lineRule="exact"/>
        <w:rPr>
          <w:rFonts w:ascii="Arial" w:cs="Arial" w:eastAsia="Arial" w:hAnsi="Arial"/>
          <w:sz w:val="18"/>
          <w:szCs w:val="18"/>
          <w:color w:val="auto"/>
        </w:rPr>
      </w:pPr>
    </w:p>
    <w:p>
      <w:pPr>
        <w:ind w:left="640" w:hanging="316"/>
        <w:spacing w:after="0" w:line="265"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registered closed-end management investment companies, BDCs or other financial services companies;</w:t>
      </w:r>
    </w:p>
    <w:p>
      <w:pPr>
        <w:spacing w:after="0" w:line="179"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raise capital, borrow money or deploy or invest our capital;</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regulatory policies or tax guidelines with respect to RICs or BDCs;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losing RIC status;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conditions, trends and other external factors;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departures of key personnel; or</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a major source of funding.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Advisor could be the target of litigation.</w:t>
      </w:r>
    </w:p>
    <w:p>
      <w:pPr>
        <w:spacing w:after="0" w:line="217"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We or our Advisor could become the target of securities class action litigation or other similar claims if our stock price fluctuates significantly or for other reasons. The outcome of any such proceedings could materially adversely affect our business, financial condition and/or operating results and could continue without resolution for long periods of time. Any litigation or other similar claims could consume substantial amounts of our management’s time and attention, and that time and attention and the devotion of associated resources could, at times, be disproportionate to the amounts at stake. Litigation and other claims are subject to inherent uncertainties, and a material adverse impact on our financial statements could occur for the period in which the effect of an unfavorable final outcome in litigation or other similar claims becomes probable and reasonably estimable. In addition, we could incur expenses associated with defending ourselves against litigation and other similar claims, and these expenses could be material to our earnings in future periods.</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Shares of closed-end investment companies, including BDCs, frequently trade at a discount to their NAV, which is separate and distinct from the risk that our NAV per share may decline.</w:t>
      </w:r>
    </w:p>
    <w:p>
      <w:pPr>
        <w:spacing w:after="0" w:line="17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cannot predict the price at which our common stock will trade. Shares of closed-end investment companies, including BDCs, frequently trade at a discount to their NAV and our stock may also be discounted in the market. This characteristic of closed-end investment companies is separate and distinct from the risk that our NAV per share may decline. We cannot predict whether shares of our common stock will trade above, at or below our NAV. In addition, if our common stock trades below its NAV, we will generally not be able to issue additional shares of our common stock at its market price without first obtaining the approval of our stockholders and our independent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shares of our common stock may involve an above average degree of risk.</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volatility or loss of principal than alternative investment options. Our investments in portfolio companies may be highly speculative and aggressive, and therefore, an investment in our common stock may not be suitable for investors with lower risk tolerance.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50" w:name="page51"/>
    <w:bookmarkEnd w:id="50"/>
    <w:p>
      <w:pPr>
        <w:spacing w:after="0" w:line="265" w:lineRule="auto"/>
        <w:rPr>
          <w:sz w:val="20"/>
          <w:szCs w:val="20"/>
          <w:color w:val="auto"/>
        </w:rPr>
      </w:pPr>
      <w:r>
        <w:rPr>
          <w:rFonts w:ascii="Arial" w:cs="Arial" w:eastAsia="Arial" w:hAnsi="Arial"/>
          <w:sz w:val="18"/>
          <w:szCs w:val="18"/>
          <w:b w:val="1"/>
          <w:bCs w:val="1"/>
          <w:i w:val="1"/>
          <w:iCs w:val="1"/>
          <w:color w:val="auto"/>
        </w:rPr>
        <w:t>Anti-takeover provisions in our charter documents and other agreements and certain provisions of the Delaware General Corporation Law, or DGCL, could deter takeover attempts and have an adverse impact on the price of our common stock.</w:t>
      </w:r>
    </w:p>
    <w:p>
      <w:pPr>
        <w:spacing w:after="0" w:line="179"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The DGCL, our certificate of incorporation and our bylaws contain provisions that may have the effect of discouraging a third party from making an acquisition proposal for us. Among other things, our certificate of incorporation and bylaws:</w:t>
      </w:r>
    </w:p>
    <w:p>
      <w:pPr>
        <w:spacing w:after="0" w:line="179"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provide for a classified board of directors, which may delay the ability of our stockholders to change the membership of a majority of our Board;</w:t>
      </w:r>
    </w:p>
    <w:p>
      <w:pPr>
        <w:spacing w:after="0" w:line="228" w:lineRule="exact"/>
        <w:rPr>
          <w:rFonts w:ascii="Arial" w:cs="Arial" w:eastAsia="Arial" w:hAnsi="Arial"/>
          <w:sz w:val="17"/>
          <w:szCs w:val="17"/>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to thwart a takeover attempt;</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 not provide for cumulative voting;</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provide that vacancies on the Board, including newly created directorships, may be filled only by a majority vote of directors then in office;</w:t>
      </w:r>
    </w:p>
    <w:p>
      <w:pPr>
        <w:spacing w:after="0" w:line="228" w:lineRule="exact"/>
        <w:rPr>
          <w:rFonts w:ascii="Arial" w:cs="Arial" w:eastAsia="Arial" w:hAnsi="Arial"/>
          <w:sz w:val="17"/>
          <w:szCs w:val="17"/>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the calling of special meetings of stockholders;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supermajority voting to effect certain amendments to our certificate of incorporation and our bylaws;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stockholders to provide advance notice of new business proposals and director nominations under specific procedures.</w:t>
      </w:r>
    </w:p>
    <w:p>
      <w:pPr>
        <w:spacing w:after="0" w:line="217"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These anti-takeover provisions may inhibit a change in control in circumstances that could give the holders of our common stock the opportunity to realize a premium over the market price of our common stock. It is a default under our Key Facility if (i) a person or group of persons (within the meaning of the Exchange Act) acquires beneficial ownership of 20% or more of our issued and outstanding common stock or (ii) during any twelve-month period, individuals who at the beginning of such period constituted our Board cease for any reason, other than death or disability, to constitute a majority of the directors in office. If either event were to occur, Key could accelerate our repayment obligations under, and/or terminate, our Key Facility.</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If we elect to issue preferred stock, holders of any such preferred stock will have the right to elect members of our Board and have class voting rights on certain matters.</w:t>
      </w:r>
    </w:p>
    <w:p>
      <w:pPr>
        <w:spacing w:after="0" w:line="17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distributions to the holders of our common stock and preferred stock, both by the 1940 Act and by requirements imposed by rating agencies, might impair our ability to maintain our ability to be subject to tax as a RIC.</w:t>
      </w:r>
    </w:p>
    <w:p>
      <w:pPr>
        <w:spacing w:after="0" w:line="18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Your interest in us may be diluted if you do not fully exercise your subscription rights in any rights offering. In addition, if the subscription price is less than our NAV per share, then you will experience an immediate dilution of the aggregate NAV of your shares.</w:t>
      </w:r>
    </w:p>
    <w:p>
      <w:pPr>
        <w:spacing w:after="0" w:line="15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the event we issue subscription rights, stockholders who do not fully exercise their rights should expect that they will, at the completion of a rights offering, own a smaller proportional interest in us than would otherwise be the case if they fully exercised their rights. Such dilution is not currently determinable because it is not known what proportion of the shares will be purchased as a result of such rights offering. Any such dilution will disproportionately affect nonexercising stockholders. If the subscription price per share is substantially less than the current NAV per share, this dilution could be substantial.</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51" w:name="page52"/>
    <w:bookmarkEnd w:id="51"/>
    <w:p>
      <w:pPr>
        <w:jc w:val="both"/>
        <w:ind w:firstLine="318"/>
        <w:spacing w:after="0" w:line="252" w:lineRule="auto"/>
        <w:rPr>
          <w:sz w:val="20"/>
          <w:szCs w:val="20"/>
          <w:color w:val="auto"/>
        </w:rPr>
      </w:pPr>
      <w:r>
        <w:rPr>
          <w:rFonts w:ascii="Arial" w:cs="Arial" w:eastAsia="Arial" w:hAnsi="Arial"/>
          <w:sz w:val="18"/>
          <w:szCs w:val="18"/>
          <w:color w:val="auto"/>
        </w:rPr>
        <w:t>In addition, if the subscription price is less than our NAV per share, our stockholders would experience an immediate dilution of the aggregate NAV of their shares as a result of such rights offering. The amount of any decrease in NAV is not predictable because it is not known at this time what the subscription price and NAV per share will be on the expiration date of the rights offering or what proportion of the shares will be purchased as a result of such rights offering. Such dilution could be substantial.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in offerings of our common stock may incur immediate dilution upon the closing of an offering.</w:t>
      </w:r>
    </w:p>
    <w:p>
      <w:pPr>
        <w:spacing w:after="0" w:line="217" w:lineRule="exact"/>
        <w:rPr>
          <w:sz w:val="20"/>
          <w:szCs w:val="20"/>
          <w:color w:val="auto"/>
        </w:rPr>
      </w:pPr>
    </w:p>
    <w:p>
      <w:pPr>
        <w:jc w:val="both"/>
        <w:ind w:firstLine="318"/>
        <w:spacing w:after="0" w:line="366" w:lineRule="auto"/>
        <w:rPr>
          <w:sz w:val="20"/>
          <w:szCs w:val="20"/>
          <w:color w:val="auto"/>
        </w:rPr>
      </w:pPr>
      <w:r>
        <w:rPr>
          <w:rFonts w:ascii="Arial" w:cs="Arial" w:eastAsia="Arial" w:hAnsi="Arial"/>
          <w:sz w:val="15"/>
          <w:szCs w:val="15"/>
          <w:color w:val="auto"/>
        </w:rPr>
        <w:t>If the public offering price for any offering of shares of our common stock is higher than the book value per share of our outstanding common stock, investors purchasing shares of common stock in any offering will pay a price per share that exceeds the tangible book value per share after such offering.</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If we sell common stock at a discount to our NAV per share, stockholders who do not participate in such sale will experience immediate dilution in an amount that may be material.</w:t>
      </w:r>
    </w:p>
    <w:p>
      <w:pPr>
        <w:spacing w:after="0" w:line="17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issuance or sale by us of shares of our common stock at a discount to NAV poses a risk of dilution to our current stockholders. In particular, stockholders who do not purchase additional shares at or below the discounted price in proportion to their current ownership will experience an immediate decrease in NAV per share (as well as in the aggregate NAV of their shares if they do not participate at all). These stockholders will also experience a disproportionately greater decrease in their participation in our earnings and assets and their voting power than the increase we experience in our assets, potential earning power and voting interests from such issuance or sale. In addition, such sales may adversely affect the price at which our common stock trades.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experience dilution in their ownership percentage if they do not participate in our dividend reinvestment plan.</w:t>
      </w:r>
    </w:p>
    <w:p>
      <w:pPr>
        <w:spacing w:after="0" w:line="21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All distributions payable to stockholders that are participants in our dividend reinvestment plan, or DRIP, are automatically reinvested in shares of our common stock. As a result, stockholders that do not participate in the DRIP will experience dilution in their ownership interest over time.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may receive shares of our common stock as dividends, which could result in adverse tax consequences to them.</w:t>
      </w:r>
    </w:p>
    <w:p>
      <w:pPr>
        <w:spacing w:after="0" w:line="2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order to satisfy the Annual Distribution Requirement, we have the ability to declare a large portion of a dividend in shares of our common stock instead of in cash. As long as a portion of such dividend is paid in cash (which portion may be as low as 20% of such dividend) and certain requirements are met, the entire distribution will be treated as a dividend for U.S. federal income tax purposes. As a result, a stockholder generally would be subject to tax on 100% of the fair market value of the dividend on the date the dividend is received by the stockholder in the same manner as a cash dividend, even though most of the dividend was paid in shares of our common stock. We currently do not intend to pay dividends in shares of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market or market value of our publicly issued Debt Securities that we may issue may fluctuate.</w:t>
      </w:r>
    </w:p>
    <w:p>
      <w:pPr>
        <w:spacing w:after="0" w:line="21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Upon issuance, any publicly issued debt securities that we may issue will not have an established trading market. We cannot assure you that a trading market for our publicly issued Debt Securities will ever develop or, if developed, will be maintained. In addition to our creditworthiness, many factors may materially adversely affect the trading market for, and market value of, our publicly issued Debt Decurities. These factors include:</w:t>
      </w:r>
    </w:p>
    <w:p>
      <w:pPr>
        <w:spacing w:after="0" w:line="172"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our Debt Securities;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redemption or repayment features, if any, of our Debt Securities;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rate of interest higher or lower than the rate borne by our Debt Securities.</w:t>
      </w:r>
    </w:p>
    <w:p>
      <w:pPr>
        <w:spacing w:after="0" w:line="217"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You should also be aware that there may be a limited number of buyers when you decide to sell your debt securities. This too may materially adversely affect the market value of our Debt Securities or the trading market for our Debt Securities.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Terms relating to redemption may materially adversely affect your return on the debt securities that we may issue.</w:t>
      </w:r>
    </w:p>
    <w:p>
      <w:pPr>
        <w:spacing w:after="0" w:line="2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our Debt Securities. In addition, if such debt securities are subject to mandatory redemption, we may be required to redeem our Debt Securities at times when prevailing interest rates are lower than the interest rate paid on our Debt Securities. In this circumstance, you may not be able to reinvest the redemption proceeds in a comparable security at an effective interest rate as high as your debt securities being redeemed.</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Credit ratings provided by third party credit rating agencies may not reflect all risks of an investment in Debt Securities that we may issue.</w:t>
      </w:r>
    </w:p>
    <w:p>
      <w:pPr>
        <w:spacing w:after="0" w:line="229"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Credit ratings provided by third party credit rating agencies are an assessment by third parties of our ability to pay our obligations. Consequently, real or anticipated changes in our credit ratings will generally affect the market value of Debt Securities that we may issue. Credit ratings provided by third party credit rating agencies, however, may not reflect the potential impact of risks related to market conditions generally or other factors discussed above on the market value of or trading market for any publicly issued debt securities that we may issue. Because we approved increasing the amount we are permitted to borrow under the 1940 Act, our credit rating may decline and we may incur additional costs in borrowing.</w:t>
      </w:r>
    </w:p>
    <w:p>
      <w:pPr>
        <w:spacing w:after="0" w:line="177" w:lineRule="exact"/>
        <w:rPr>
          <w:sz w:val="20"/>
          <w:szCs w:val="20"/>
          <w:color w:val="auto"/>
        </w:rPr>
      </w:pPr>
    </w:p>
    <w:p>
      <w:pPr>
        <w:jc w:val="both"/>
        <w:ind w:right="20"/>
        <w:spacing w:after="0" w:line="366" w:lineRule="auto"/>
        <w:rPr>
          <w:sz w:val="20"/>
          <w:szCs w:val="20"/>
          <w:color w:val="auto"/>
        </w:rPr>
      </w:pPr>
      <w:r>
        <w:rPr>
          <w:rFonts w:ascii="Arial" w:cs="Arial" w:eastAsia="Arial" w:hAnsi="Arial"/>
          <w:sz w:val="15"/>
          <w:szCs w:val="15"/>
          <w:b w:val="1"/>
          <w:bCs w:val="1"/>
          <w:i w:val="1"/>
          <w:iCs w:val="1"/>
          <w:color w:val="auto"/>
        </w:rPr>
        <w:t>Sales in the public market of substantial amounts of our common stock may have an adverse effect on the market price of our common stock, and the registration of a substantial amount of insider shares, whether or not actually sold, may have a negative impact on the market price of our common stock.</w:t>
      </w:r>
    </w:p>
    <w:p>
      <w:pPr>
        <w:spacing w:after="0" w:line="11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whether or not actually sold, could adversely affect the prevailing market price of our common stock. If this occurs and continues, it could impair our ability to raise additional capital through the sale of equity securities should we desire to do so.</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Debt Securities are unsecured and therefore are effectively subordinated to any secured indebtedness we have currently incurred or may incur in the future.</w:t>
      </w:r>
    </w:p>
    <w:p>
      <w:pPr>
        <w:spacing w:after="0" w:line="17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080808"/>
        </w:rPr>
        <w:t>Our Debt Securities are not secured by any of our assets or any of the assets of our subsidiaries. As a result, our Debt Securities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w:t>
      </w:r>
      <w:r>
        <w:rPr>
          <w:rFonts w:ascii="Arial" w:cs="Arial" w:eastAsia="Arial" w:hAnsi="Arial"/>
          <w:sz w:val="17"/>
          <w:szCs w:val="17"/>
          <w:color w:val="2B2B2B"/>
        </w:rPr>
        <w:t>,</w:t>
      </w:r>
      <w:r>
        <w:rPr>
          <w:rFonts w:ascii="Arial" w:cs="Arial" w:eastAsia="Arial" w:hAnsi="Arial"/>
          <w:sz w:val="17"/>
          <w:szCs w:val="17"/>
          <w:color w:val="080808"/>
        </w:rPr>
        <w:t xml:space="preserve"> dissolution</w:t>
      </w:r>
      <w:r>
        <w:rPr>
          <w:rFonts w:ascii="Arial" w:cs="Arial" w:eastAsia="Arial" w:hAnsi="Arial"/>
          <w:sz w:val="17"/>
          <w:szCs w:val="17"/>
          <w:color w:val="2B2B2B"/>
        </w:rPr>
        <w:t>,</w:t>
      </w:r>
      <w:r>
        <w:rPr>
          <w:rFonts w:ascii="Arial" w:cs="Arial" w:eastAsia="Arial" w:hAnsi="Arial"/>
          <w:sz w:val="17"/>
          <w:szCs w:val="17"/>
          <w:color w:val="080808"/>
        </w:rPr>
        <w:t xml:space="preserve"> bankruptcy or other similar proceeding</w:t>
      </w:r>
      <w:r>
        <w:rPr>
          <w:rFonts w:ascii="Arial" w:cs="Arial" w:eastAsia="Arial" w:hAnsi="Arial"/>
          <w:sz w:val="17"/>
          <w:szCs w:val="17"/>
          <w:color w:val="2B2B2B"/>
        </w:rPr>
        <w:t>,</w:t>
      </w:r>
      <w:r>
        <w:rPr>
          <w:rFonts w:ascii="Arial" w:cs="Arial" w:eastAsia="Arial" w:hAnsi="Arial"/>
          <w:sz w:val="17"/>
          <w:szCs w:val="17"/>
          <w:color w:val="080808"/>
        </w:rPr>
        <w:t xml:space="preserve">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our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Securities are structurally subordinated to the indebtedness and other liabilities of our subsidiaries.</w:t>
      </w:r>
    </w:p>
    <w:p>
      <w:pPr>
        <w:spacing w:after="0" w:line="2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Debt Securities are obligations exclusively of Horizon Technology Finance Corporation, and not of any of our subsidiaries. None of our subsidiaries is a guarantor of our Debt Securities and our Debt Securities are not required to be guaranteed by any subsidiaries we may acquire or create in the future. The assets of such subsidiaries are not directly available to satisfy the claims of our creditors, including holders of our Debt Securities.</w:t>
      </w:r>
    </w:p>
    <w:p>
      <w:pPr>
        <w:spacing w:after="0" w:line="13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Except to the extent we are a creditor with recognized claims against our subsidiaries, all claims of creditors (including trade creditors) and holders of preferred stock, if any, of our subsidiaries have priority over our equity interests in such subsidiaries (and therefore the claims of our creditors, including holders of our Debt Securities) with respect to the assets of such subsidiaries. Even if we are recognized as a creditor of one or more of our subsidiaries, our claims are effectively subordinated to any security interests in the assets of any such subsidiary and to any indebtedness or other liabilities of any such subsidiary senior to our claims. Consequently, our Debt Securities are structurally subordinated to all indebtedness and other liabilities (including trade payables) of any of our subsidiaries and any subsidiaries that we may in the future acquire or establish as financing vehicles or otherwise.</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addition, our subsidiaries may incur substantial additional indebtedness in the future, all of which would be structurally senior to our Debt Securities.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The indenture governing our Debt Securities contains limited protection for holders of our Debt Securities.</w:t>
      </w:r>
    </w:p>
    <w:p>
      <w:pPr>
        <w:spacing w:after="0" w:line="2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indenture governing our Debt Securities offers limited protection to holders of our Debt Securities. The terms of the indenture do not restrict our or any of our subsidiaries’ ability to engage in, or otherwise be a party to, a variety of corporate transactions, circumstances or events that could have a material adverse impact on investments in our Debt Securities. In particular, the terms of the indenture do not place any restrictions on our or our subsidiaries’ ability to:</w:t>
      </w:r>
    </w:p>
    <w:p>
      <w:pPr>
        <w:spacing w:after="0" w:line="137" w:lineRule="exact"/>
        <w:rPr>
          <w:sz w:val="20"/>
          <w:szCs w:val="20"/>
          <w:color w:val="auto"/>
        </w:rPr>
      </w:pPr>
    </w:p>
    <w:p>
      <w:pPr>
        <w:jc w:val="both"/>
        <w:ind w:left="640" w:hanging="316"/>
        <w:spacing w:after="0" w:line="297" w:lineRule="auto"/>
        <w:tabs>
          <w:tab w:leader="none" w:pos="640" w:val="left"/>
        </w:tabs>
        <w:numPr>
          <w:ilvl w:val="0"/>
          <w:numId w:val="37"/>
        </w:numPr>
        <w:rPr>
          <w:rFonts w:ascii="Arial" w:cs="Arial" w:eastAsia="Arial" w:hAnsi="Arial"/>
          <w:sz w:val="15"/>
          <w:szCs w:val="15"/>
          <w:color w:val="auto"/>
        </w:rPr>
      </w:pPr>
      <w:r>
        <w:rPr>
          <w:rFonts w:ascii="Arial" w:cs="Arial" w:eastAsia="Arial" w:hAnsi="Arial"/>
          <w:sz w:val="15"/>
          <w:szCs w:val="15"/>
          <w:color w:val="080808"/>
        </w:rPr>
        <w:t xml:space="preserve">issue securities or otherwise incur additional indebtedness or other obligations, including (1) any indebtedness or other obligations that would be equal in right of payment to our Debt Securities, (2) any indebtedness or </w:t>
      </w:r>
      <w:r>
        <w:rPr>
          <w:rFonts w:ascii="Arial" w:cs="Arial" w:eastAsia="Arial" w:hAnsi="Arial"/>
          <w:sz w:val="15"/>
          <w:szCs w:val="15"/>
          <w:color w:val="1C1C1C"/>
        </w:rPr>
        <w:t>other</w:t>
      </w:r>
      <w:r>
        <w:rPr>
          <w:rFonts w:ascii="Arial" w:cs="Arial" w:eastAsia="Arial" w:hAnsi="Arial"/>
          <w:sz w:val="15"/>
          <w:szCs w:val="15"/>
          <w:color w:val="080808"/>
        </w:rPr>
        <w:t xml:space="preserve"> obligations that would be </w:t>
      </w:r>
      <w:r>
        <w:rPr>
          <w:rFonts w:ascii="Arial" w:cs="Arial" w:eastAsia="Arial" w:hAnsi="Arial"/>
          <w:sz w:val="15"/>
          <w:szCs w:val="15"/>
          <w:color w:val="1C1C1C"/>
        </w:rPr>
        <w:t>secured and</w:t>
      </w:r>
      <w:r>
        <w:rPr>
          <w:rFonts w:ascii="Arial" w:cs="Arial" w:eastAsia="Arial" w:hAnsi="Arial"/>
          <w:sz w:val="15"/>
          <w:szCs w:val="15"/>
          <w:color w:val="080808"/>
        </w:rPr>
        <w:t xml:space="preserve"> therefore rank effectively senior in </w:t>
      </w:r>
      <w:r>
        <w:rPr>
          <w:rFonts w:ascii="Arial" w:cs="Arial" w:eastAsia="Arial" w:hAnsi="Arial"/>
          <w:sz w:val="15"/>
          <w:szCs w:val="15"/>
          <w:color w:val="1C1C1C"/>
        </w:rPr>
        <w:t>right</w:t>
      </w:r>
      <w:r>
        <w:rPr>
          <w:rFonts w:ascii="Arial" w:cs="Arial" w:eastAsia="Arial" w:hAnsi="Arial"/>
          <w:sz w:val="15"/>
          <w:szCs w:val="15"/>
          <w:color w:val="080808"/>
        </w:rPr>
        <w:t xml:space="preserve"> of payment to our Debt Securities to the extent of the values </w:t>
      </w:r>
      <w:r>
        <w:rPr>
          <w:rFonts w:ascii="Arial" w:cs="Arial" w:eastAsia="Arial" w:hAnsi="Arial"/>
          <w:sz w:val="15"/>
          <w:szCs w:val="15"/>
          <w:color w:val="1C1C1C"/>
        </w:rPr>
        <w:t>of</w:t>
      </w:r>
      <w:r>
        <w:rPr>
          <w:rFonts w:ascii="Arial" w:cs="Arial" w:eastAsia="Arial" w:hAnsi="Arial"/>
          <w:sz w:val="15"/>
          <w:szCs w:val="15"/>
          <w:color w:val="080808"/>
        </w:rPr>
        <w:t xml:space="preserve"> the assets securing such debt, (3) indebtedness of ours that is guaranteed by one or more of our subsidiaries and which therefore is structurally senior to our Debt Securities and (4) securities, indebtedness or obligations issued or incurred by our </w:t>
      </w:r>
      <w:r>
        <w:rPr>
          <w:rFonts w:ascii="Arial" w:cs="Arial" w:eastAsia="Arial" w:hAnsi="Arial"/>
          <w:sz w:val="15"/>
          <w:szCs w:val="15"/>
          <w:color w:val="1C1C1C"/>
        </w:rPr>
        <w:t>subsidiaries</w:t>
      </w:r>
      <w:r>
        <w:rPr>
          <w:rFonts w:ascii="Arial" w:cs="Arial" w:eastAsia="Arial" w:hAnsi="Arial"/>
          <w:sz w:val="15"/>
          <w:szCs w:val="15"/>
          <w:color w:val="080808"/>
        </w:rPr>
        <w:t xml:space="preserve"> that would be </w:t>
      </w:r>
      <w:r>
        <w:rPr>
          <w:rFonts w:ascii="Arial" w:cs="Arial" w:eastAsia="Arial" w:hAnsi="Arial"/>
          <w:sz w:val="15"/>
          <w:szCs w:val="15"/>
          <w:color w:val="1C1C1C"/>
        </w:rPr>
        <w:t>senior</w:t>
      </w:r>
      <w:r>
        <w:rPr>
          <w:rFonts w:ascii="Arial" w:cs="Arial" w:eastAsia="Arial" w:hAnsi="Arial"/>
          <w:sz w:val="15"/>
          <w:szCs w:val="15"/>
          <w:color w:val="080808"/>
        </w:rPr>
        <w:t xml:space="preserve"> to our equity interests in </w:t>
      </w:r>
      <w:r>
        <w:rPr>
          <w:rFonts w:ascii="Arial" w:cs="Arial" w:eastAsia="Arial" w:hAnsi="Arial"/>
          <w:sz w:val="15"/>
          <w:szCs w:val="15"/>
          <w:color w:val="1C1C1C"/>
        </w:rPr>
        <w:t>our</w:t>
      </w:r>
      <w:r>
        <w:rPr>
          <w:rFonts w:ascii="Arial" w:cs="Arial" w:eastAsia="Arial" w:hAnsi="Arial"/>
          <w:sz w:val="15"/>
          <w:szCs w:val="15"/>
          <w:color w:val="080808"/>
        </w:rPr>
        <w:t xml:space="preserve"> subsidiaries and therefore rank structurally </w:t>
      </w:r>
      <w:r>
        <w:rPr>
          <w:rFonts w:ascii="Arial" w:cs="Arial" w:eastAsia="Arial" w:hAnsi="Arial"/>
          <w:sz w:val="15"/>
          <w:szCs w:val="15"/>
          <w:color w:val="1C1C1C"/>
        </w:rPr>
        <w:t>senior</w:t>
      </w:r>
      <w:r>
        <w:rPr>
          <w:rFonts w:ascii="Arial" w:cs="Arial" w:eastAsia="Arial" w:hAnsi="Arial"/>
          <w:sz w:val="15"/>
          <w:szCs w:val="15"/>
          <w:color w:val="080808"/>
        </w:rPr>
        <w:t xml:space="preserve"> to our Debt Securities with </w:t>
      </w:r>
      <w:r>
        <w:rPr>
          <w:rFonts w:ascii="Arial" w:cs="Arial" w:eastAsia="Arial" w:hAnsi="Arial"/>
          <w:sz w:val="15"/>
          <w:szCs w:val="15"/>
          <w:color w:val="1C1C1C"/>
        </w:rPr>
        <w:t>respect</w:t>
      </w:r>
      <w:r>
        <w:rPr>
          <w:rFonts w:ascii="Arial" w:cs="Arial" w:eastAsia="Arial" w:hAnsi="Arial"/>
          <w:sz w:val="15"/>
          <w:szCs w:val="15"/>
          <w:color w:val="080808"/>
        </w:rPr>
        <w:t xml:space="preserve"> to the assets of </w:t>
      </w:r>
      <w:r>
        <w:rPr>
          <w:rFonts w:ascii="Arial" w:cs="Arial" w:eastAsia="Arial" w:hAnsi="Arial"/>
          <w:sz w:val="15"/>
          <w:szCs w:val="15"/>
          <w:color w:val="1C1C1C"/>
        </w:rPr>
        <w:t>our</w:t>
      </w:r>
      <w:r>
        <w:rPr>
          <w:rFonts w:ascii="Arial" w:cs="Arial" w:eastAsia="Arial" w:hAnsi="Arial"/>
          <w:sz w:val="15"/>
          <w:szCs w:val="15"/>
          <w:color w:val="080808"/>
        </w:rPr>
        <w:t xml:space="preserve"> subsidiaries, in each case other than an incurrence of indebtedness or other obligation that would cause a violation </w:t>
      </w:r>
      <w:r>
        <w:rPr>
          <w:rFonts w:ascii="Arial" w:cs="Arial" w:eastAsia="Arial" w:hAnsi="Arial"/>
          <w:sz w:val="15"/>
          <w:szCs w:val="15"/>
          <w:color w:val="1C1C1C"/>
        </w:rPr>
        <w:t>of</w:t>
      </w:r>
      <w:r>
        <w:rPr>
          <w:rFonts w:ascii="Arial" w:cs="Arial" w:eastAsia="Arial" w:hAnsi="Arial"/>
          <w:sz w:val="15"/>
          <w:szCs w:val="15"/>
          <w:color w:val="080808"/>
        </w:rPr>
        <w:t xml:space="preserve"> Section 18(a)</w:t>
      </w:r>
    </w:p>
    <w:p>
      <w:pPr>
        <w:spacing w:after="0" w:line="3" w:lineRule="exact"/>
        <w:rPr>
          <w:rFonts w:ascii="Arial" w:cs="Arial" w:eastAsia="Arial" w:hAnsi="Arial"/>
          <w:sz w:val="15"/>
          <w:szCs w:val="15"/>
          <w:color w:val="auto"/>
        </w:rPr>
      </w:pPr>
    </w:p>
    <w:p>
      <w:pPr>
        <w:jc w:val="both"/>
        <w:ind w:left="640"/>
        <w:spacing w:after="0" w:line="322" w:lineRule="auto"/>
        <w:rPr>
          <w:rFonts w:ascii="Arial" w:cs="Arial" w:eastAsia="Arial" w:hAnsi="Arial"/>
          <w:sz w:val="15"/>
          <w:szCs w:val="15"/>
          <w:color w:val="auto"/>
        </w:rPr>
      </w:pPr>
      <w:r>
        <w:rPr>
          <w:rFonts w:ascii="Arial" w:cs="Arial" w:eastAsia="Arial" w:hAnsi="Arial"/>
          <w:sz w:val="15"/>
          <w:szCs w:val="15"/>
          <w:color w:val="080808"/>
        </w:rPr>
        <w:t xml:space="preserve">(1)(A) of the 1940 Act as modified by Section 61(a)(l) of the 1940 Act or any </w:t>
      </w:r>
      <w:r>
        <w:rPr>
          <w:rFonts w:ascii="Arial" w:cs="Arial" w:eastAsia="Arial" w:hAnsi="Arial"/>
          <w:sz w:val="15"/>
          <w:szCs w:val="15"/>
          <w:color w:val="1C1C1C"/>
        </w:rPr>
        <w:t>successor</w:t>
      </w:r>
      <w:r>
        <w:rPr>
          <w:rFonts w:ascii="Arial" w:cs="Arial" w:eastAsia="Arial" w:hAnsi="Arial"/>
          <w:sz w:val="15"/>
          <w:szCs w:val="15"/>
          <w:color w:val="080808"/>
        </w:rPr>
        <w:t xml:space="preserve"> provisions, whether or not we continue to be subject to such provisions </w:t>
      </w:r>
      <w:r>
        <w:rPr>
          <w:rFonts w:ascii="Arial" w:cs="Arial" w:eastAsia="Arial" w:hAnsi="Arial"/>
          <w:sz w:val="15"/>
          <w:szCs w:val="15"/>
          <w:color w:val="1C1C1C"/>
        </w:rPr>
        <w:t>of</w:t>
      </w:r>
      <w:r>
        <w:rPr>
          <w:rFonts w:ascii="Arial" w:cs="Arial" w:eastAsia="Arial" w:hAnsi="Arial"/>
          <w:sz w:val="15"/>
          <w:szCs w:val="15"/>
          <w:color w:val="080808"/>
        </w:rPr>
        <w:t xml:space="preserve"> the 1940 Act, (these provisions generally prohibit us from making additional borrowings, including through the issuance of additional debt or the sale of additional debt </w:t>
      </w:r>
      <w:r>
        <w:rPr>
          <w:rFonts w:ascii="Arial" w:cs="Arial" w:eastAsia="Arial" w:hAnsi="Arial"/>
          <w:sz w:val="15"/>
          <w:szCs w:val="15"/>
          <w:color w:val="1C1C1C"/>
        </w:rPr>
        <w:t>securities,</w:t>
      </w:r>
      <w:r>
        <w:rPr>
          <w:rFonts w:ascii="Arial" w:cs="Arial" w:eastAsia="Arial" w:hAnsi="Arial"/>
          <w:sz w:val="15"/>
          <w:szCs w:val="15"/>
          <w:color w:val="080808"/>
        </w:rPr>
        <w:t xml:space="preserve"> unless our asset coverage, as defined in the 1940 Act, equals at least 150% </w:t>
      </w:r>
      <w:r>
        <w:rPr>
          <w:rFonts w:ascii="Arial" w:cs="Arial" w:eastAsia="Arial" w:hAnsi="Arial"/>
          <w:sz w:val="15"/>
          <w:szCs w:val="15"/>
          <w:color w:val="1C1C1C"/>
        </w:rPr>
        <w:t>after</w:t>
      </w:r>
      <w:r>
        <w:rPr>
          <w:rFonts w:ascii="Arial" w:cs="Arial" w:eastAsia="Arial" w:hAnsi="Arial"/>
          <w:sz w:val="15"/>
          <w:szCs w:val="15"/>
          <w:color w:val="080808"/>
        </w:rPr>
        <w:t xml:space="preserve"> such borrowings);</w:t>
      </w:r>
    </w:p>
    <w:p>
      <w:pPr>
        <w:spacing w:after="0" w:line="142" w:lineRule="exact"/>
        <w:rPr>
          <w:rFonts w:ascii="Arial" w:cs="Arial" w:eastAsia="Arial" w:hAnsi="Arial"/>
          <w:sz w:val="15"/>
          <w:szCs w:val="15"/>
          <w:color w:val="auto"/>
        </w:rPr>
      </w:pPr>
    </w:p>
    <w:p>
      <w:pPr>
        <w:jc w:val="both"/>
        <w:ind w:left="640" w:hanging="316"/>
        <w:spacing w:after="0" w:line="309" w:lineRule="auto"/>
        <w:tabs>
          <w:tab w:leader="none" w:pos="6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pay dividends on, or purchase or redeem or make any payments in respect of capital stock or other securities ranking junior in right of payment to our Debt Securities, including subordinated indebtedness, in each case other than dividends, purchases, redemptions or payments that would cause a violation of Section 18(a)(1)(B) of the 1940 Act as modified by Section 61(a)(l) of the 1940 Act or any successor provisions giving effect to any exemptive relief granted to us by the SEC (these provisions generally prohibit us from declaring any cash dividend or distribution upon any class of our capital stock, or purchasing any such capital stock unless our asset coverage, as defined in the 1940 Act, equals at least 150% at the time of the declaration of the dividend or distribution or the purchase and after deducting the amount of such dividend, distribution or purchase);</w:t>
      </w:r>
    </w:p>
    <w:p>
      <w:pPr>
        <w:spacing w:after="0" w:line="152" w:lineRule="exact"/>
        <w:rPr>
          <w:rFonts w:ascii="Arial" w:cs="Arial" w:eastAsia="Arial" w:hAnsi="Arial"/>
          <w:sz w:val="15"/>
          <w:szCs w:val="15"/>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the indenture does not require us to offer to purchase our Debt Securities in connection with a change of control or any other event.</w:t>
      </w:r>
    </w:p>
    <w:p>
      <w:pPr>
        <w:spacing w:after="0" w:line="22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Furthermore, the terms of the indenture do not protect holders of our Debt Securities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8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our Debt Securities may have important consequences for holders of our Debt Securities, including making it more difficult for us to satisfy our obligations with respect to our Debt Securities or negatively affecting the trading value of our Debt Securities.</w:t>
      </w:r>
    </w:p>
    <w:p>
      <w:pPr>
        <w:spacing w:after="0" w:line="18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Certain of our current debt instruments include more protections for their holders than the indenture. In addition, other debt we issue or incur in the future could contain more protections for its holders than the indenture, including additional covenants and events of default. The issuance or incurrence of any such debt with incremental protections could affect the market for and trading levels and prices of our Debt Securities.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54" w:name="page55"/>
    <w:bookmarkEnd w:id="54"/>
    <w:p>
      <w:pPr>
        <w:jc w:val="both"/>
        <w:spacing w:after="0" w:line="265" w:lineRule="auto"/>
        <w:rPr>
          <w:sz w:val="20"/>
          <w:szCs w:val="20"/>
          <w:color w:val="auto"/>
        </w:rPr>
      </w:pPr>
      <w:r>
        <w:rPr>
          <w:rFonts w:ascii="Arial" w:cs="Arial" w:eastAsia="Arial" w:hAnsi="Arial"/>
          <w:sz w:val="18"/>
          <w:szCs w:val="18"/>
          <w:b w:val="1"/>
          <w:bCs w:val="1"/>
          <w:i w:val="1"/>
          <w:iCs w:val="1"/>
          <w:color w:val="auto"/>
        </w:rPr>
        <w:t>An active trading market for our Debt Securities may not exist, which could limit holders’ ability to sell our Debt Securities or affect the market price of our Debt Securities.</w:t>
      </w:r>
    </w:p>
    <w:p>
      <w:pPr>
        <w:spacing w:after="0" w:line="179"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We cannot provide any assurances that an active trading market for our Debt Securities will exist in the future or that you will be able to sell our Debt Securities. Even if an active trading market does exist, our Debt Securities may trade at a discount from their initial offering price depending on prevailing interest rates, the market for similar securities, our credit ratings, if any, general economic conditions, our financial condition, performance and prospects and other factors. To the extent an active trading market does not exist, the liquidity and trading price for our Debt Securities may be harmed. Accordingly, you may be required to bear the financial risk of an investment in our Debt Securities for an indefinite period of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80808"/>
        </w:rPr>
        <w:t>The optional redemption provision may materially adversely affect the return on our Debt Securities.</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Debt Securities may provide that such securities are redeemable in whole or in part prior to their maturity date at our sole option. We may choose to redeem our Debt Securities at times when prevailing interest rates are lower than the interest rate paid on our Debt Securities. In this circumstance, the holders of our Debt Securities may not be able to reinvest the redemption proceeds in a comparable security at an effective interest rate as high as our Debt Securities being redeemed.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our Debt Securities.</w:t>
      </w:r>
    </w:p>
    <w:p>
      <w:pPr>
        <w:spacing w:after="0" w:line="21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Any default under the agreements governing our indebtedness, including a default under the Key Facility or other indebtedness to which we may be a party that is not waived by the required lenders or holders thereunder, and the remedies sought by the holders of such indebtedness could make us unable to pay principal, premium, if any, and interest on our Debt Securities and substantially decrease the market value of our Debt Securities.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 under the Key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 under the Key Facility or other debt that we may incur in the future to avoid being in default. If we breach our covenants under the Key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 under the Key Facility, could proceed against the collateral securing the debt. Because the Key Facility has, and any future credit facilities will likely have, customary cross-default provisions, if the indebtedness thereunder or under any future credit facility is accelerated, we may be unable to repay or finance the amounts due.</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80808"/>
        </w:rPr>
        <w:t>FATCA withholding may apply to payments to certain foreign entities.</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Payments made under our Debt Securities to a foreign financial institution, or “FFI,” or non-financial foreign entity, or “NFFE” (including such an institution or entity acting as an intermediary), may be subject to a U.S. withholding tax of 30% under U.S. Foreign Account Tax Compliance Act provisions of the Code (commonly referred to as “FATCA”). This withholding tax may apply to payments of interest on our Debt Securities as well as, after December 31, 2018, to payments made upon maturity, redemption, or sale of our Debt Securities, unless the FFI or NFFE complies with certain information reporting, withholding, identification, certification and related requirements imposed by FATCA. Depending upon the status of a holder and the status of an intermediary through which any Debt Securities are held, the holder could be subject to this 30% withholding tax in respect of any interest paid on our Debt Securities as well as any proceeds from the sale or other disposition of our Debt Securities. Holders of our Debt Securities should consult their own tax advisors regarding FATCA and how it may affect their investment in our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3" w:lineRule="exact"/>
        <w:rPr>
          <w:sz w:val="20"/>
          <w:szCs w:val="20"/>
          <w:color w:val="auto"/>
        </w:rPr>
      </w:pPr>
    </w:p>
    <w:p>
      <w:pPr>
        <w:ind w:firstLine="318"/>
        <w:spacing w:after="0" w:line="366" w:lineRule="auto"/>
        <w:rPr>
          <w:sz w:val="20"/>
          <w:szCs w:val="20"/>
          <w:color w:val="auto"/>
        </w:rPr>
      </w:pPr>
      <w:r>
        <w:rPr>
          <w:rFonts w:ascii="Arial" w:cs="Arial" w:eastAsia="Arial" w:hAnsi="Arial"/>
          <w:sz w:val="15"/>
          <w:szCs w:val="15"/>
          <w:color w:val="auto"/>
        </w:rPr>
        <w:t>We do not own any real estate or other physical properties materially important to our operation. Our headquarters and our Advisor’s headquarters are currently located at 312 Farmington Avenue, Farmington, Connecticut 06032. We believe that our office facilities are suitable and adequate to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Neither we nor our Advisor is currently subject to any material 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PART II</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common stock is traded on Nasdaq, under the symbol “HRZN.” The last reported price for our common stock on March 1, 2019 was $12.97 per share, which represented an 11% premium to NAV per share. As of March 1, 2019 we had 17 stockholders of record, which did not include stockholders for whom shares are held in nominee or “street” name.</w:t>
      </w:r>
    </w:p>
    <w:p>
      <w:pPr>
        <w:spacing w:after="0" w:line="18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engage in any sales of unregistered equity securities during the years ended December 31, 2018, 2017 and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3"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On April 27, 2018, our Board extended a previously authorized stock repurchase plan which allows us to repurchase up to $5.0 million of our outstanding common stock. Unless extended by our Board, the repurchase program will expire on the earlier of June 30, 2019 and the repurchase of $5.0 million of common stock. During the quarter ended December 31, 2018, we did not repurchase any shares of our common stock. During the year ended December 31, 2018, we did not repurchase any shares of our common stock. During the year ended December 31, 2017, we repurchased 5,923 shares of our common stock at an average price of $9.97 on the open market at a total cost of $0.1 million. During the year ended December 31, 2016, we repurchased 48,160 shares of our common stock at an average price of $10.66 on the open market for a total cost of $0.5 million. From the inception of the stock repurchase program through December 31, 2018, we repurchased 167,465 shares of our common stock at an average price of $11.22 on the open market at a total cost of $1.9 million.</w:t>
      </w:r>
    </w:p>
    <w:p>
      <w:pPr>
        <w:spacing w:after="0" w:line="15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Any shares repurchased by us may have the effect of maintaining the market price of our common stock or retarding a decline in the market price of the common stock, and, as a result, the price of our common stock may be higher than the price that otherwise might exist in the open market. In addition, as any shares repurchased pursuant to the stock repurchase plan will be purchased at a price below the NAV per share as reported in our most recent financial statements, share repurchases may have the effect of increasing our NAV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intend to continue making monthly distributions to our stockholders. The timing and amount of our monthly distributions, if any, is determined by our Board.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considered a return of capital to our common stockholders for U.S. federal income tax purposes. Thus, the source of distribution to our stockholders may be the original capital invested by the stockholder rather than our income or gains. Stockholders should read any written disclosure accompanying a distribution payment carefully and should not assume that the source of any distribution is our ordinary income or gains.</w:t>
      </w:r>
    </w:p>
    <w:p>
      <w:pPr>
        <w:spacing w:after="0" w:line="153" w:lineRule="exact"/>
        <w:rPr>
          <w:sz w:val="20"/>
          <w:szCs w:val="20"/>
          <w:color w:val="auto"/>
        </w:rPr>
      </w:pPr>
    </w:p>
    <w:p>
      <w:pPr>
        <w:jc w:val="both"/>
        <w:ind w:firstLine="394"/>
        <w:spacing w:after="0" w:line="309" w:lineRule="auto"/>
        <w:rPr>
          <w:sz w:val="20"/>
          <w:szCs w:val="20"/>
          <w:color w:val="auto"/>
        </w:rPr>
      </w:pPr>
      <w:r>
        <w:rPr>
          <w:rFonts w:ascii="Arial" w:cs="Arial" w:eastAsia="Arial" w:hAnsi="Arial"/>
          <w:sz w:val="15"/>
          <w:szCs w:val="15"/>
          <w:color w:val="auto"/>
        </w:rPr>
        <w:t>In order to qualify to be subject to tax as a RIC, we must meet certain source-of-income, asset diversification and annual distribution requirements. Generally, in order to qualify as a RIC, we must derive at least 90% of our gross income during each tax year from dividends, interest, payments with respect to certain securities, loans, gains from the sale or other disposition of stock, securities or foreign currencies, or other income derived with respect to our business of investing in stock or other securities.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57" w:name="page58"/>
    <w:bookmarkEnd w:id="57"/>
    <w:p>
      <w:pPr>
        <w:jc w:val="both"/>
        <w:ind w:firstLine="318"/>
        <w:spacing w:after="0" w:line="302" w:lineRule="auto"/>
        <w:rPr>
          <w:sz w:val="20"/>
          <w:szCs w:val="20"/>
          <w:color w:val="auto"/>
        </w:rPr>
      </w:pPr>
      <w:r>
        <w:rPr>
          <w:rFonts w:ascii="Arial" w:cs="Arial" w:eastAsia="Arial" w:hAnsi="Arial"/>
          <w:sz w:val="15"/>
          <w:szCs w:val="15"/>
          <w:color w:val="auto"/>
        </w:rPr>
        <w:t>In addition, in order to be eligible for the special tax treatment accorded to RICs and to avoid the imposition of corporate level tax on the income and gains we distribute to our stockholders, each tax year we are required under the Code to distribute as dividends of an amount generally at least 90% of our investment company taxable income, determined without regard to any deduction for dividends paid to our stockholders. We refer to such amount as the Annual Distribution Requirement in this annual report on Form 10-K. Additionally, we must distribute, in respect of each calendar year, dividends of an amount generally at least equal to the sum of 98% of our calendar year net ordinary income (taking into account certain deferrals and elections); 98.2% of our capital gain net income (adjusted for certain ordinary losses) for the one year period ending on October 31 of such calendar year; and any net ordinary income or capital gain net income for preceding years that was not distributed during such years and on which we previously did not incur any U.S. federal income tax in order to avoid the imposition of a 4% U.S. federal excise tax. If we fail to qualify as a RIC for any reason and become subject to corporate income tax, the resulting corporate income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spacing w:after="0" w:line="15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Depending on the level of taxable income earned in a tax year, we may choose to carry forward taxable income in excess of current year distributions into the next tax year and pay a 4% U.S. federal excise tax on such undistributed income. Distributions of any such carryover taxable income must be made through a distribution declared as of the earlier of the filing date of the corporate income tax return related to the tax year in which such taxable income was generated or</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ninth month following the end of such tax year, in order to count towards the satisfaction of the Annual Distribution Requirement for the tax year in which such taxable income was generated. We can offer no assurance that we will achieve results that will permit the payment of any cash distributions and, if we issue senior securities, we may be prohibited from making distributions if doing so causes us to fail to maintain the asset coverage stipulated by the 1940 Act or if distributions are limited by the terms of any of our borrowings. See “Item 1. Business — Regulation — Taxation as a RIC.”</w:t>
      </w:r>
    </w:p>
    <w:p>
      <w:pPr>
        <w:spacing w:after="0" w:line="19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have adopted an “opt out” DRIP for our common stockholders. As a result, if we make a distribution, then stockholders’ cash distributions are automatically reinvested in additional shares of our common stock, unless they specifically opt out of the DRIP. If a stockholder opts out, that stockholder receives cash distributions. Although distributions paid in the form of additional shares of common stock are generally subject to U.S. federal, state and local taxes, stockholders participating in our DRIP do not receive any corresponding cash distributions with which to pay any such applicable taxes. We may use newly issued shares to implement the DRIP, or we may purchase shares in the open market in connection with our obligations under the DRIP.</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1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following graph compares the return on our common stock with that of the Standard &amp; Poor’s 500 Stock Index and the Wells Fargo BDC Index, for the period from December 31, 2013 through December 31, 2018. The graph assumes that, on December 31, 2013, a person invested $100 in each of our common stock, the S&amp;P 500 Index and the Wells Fargo BDC Index. The graph measures total stockholder return, which takes into account both changes in stock price and distributions. It assumes that distributions paid are invested in like securities. The graph and other information furnished under this Part II Item 5 of our annual report on Form 10-K shall not be deemed to be “soliciting material” or to be “filed” with the SEC or subject to Regulation 14A or 14C, or to the liabilities of Section 18 of the Exchange Act.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104775</wp:posOffset>
            </wp:positionV>
            <wp:extent cx="5481320" cy="4209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81320" cy="420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selected consolidated financial data of the Company as of December 31, 2018, 2017, 2016, 2015 and 2014, and for the years ended December 31, 2018, 2017, 2016, 2015 and 2014 are derived from the consolidated financial statements that have been audited by RSM US LLP, an independent registered public accounting firm. These selected financial data should be read in conjunction with our financial statements and related notes thereto and “Management’s Discussion and Analysis of Financial Condition and Results of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(Dollars in thousands, except per share data and portfolio</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8"/>
                <w:szCs w:val="18"/>
                <w:b w:val="1"/>
                <w:bCs w:val="1"/>
                <w:color w:val="auto"/>
                <w:w w:val="87"/>
              </w:rPr>
              <w:t>As of and for the years ended December 31,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company counts)</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31,090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25,777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32,984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31,110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31,254</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4,578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3,786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4,747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color w:val="auto"/>
              </w:rPr>
              <w:t>Performance based incentive fee</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4,393</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1,714</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2,126</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3,501</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All other expenses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9,403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8,034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9,119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9,212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13,962</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color w:val="auto"/>
                <w:w w:val="99"/>
              </w:rPr>
              <w:t>Base management and performance based incentive fees waived</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excise tax</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12,322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17,012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13,996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10,877</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color w:val="auto"/>
              </w:rPr>
              <w:t>Provision (credit) for excise tax</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13,866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12,297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17,099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13,996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10,717</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(21,191)</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(7,776)</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(1,650)</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18,485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(14,236)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13,010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9,591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(4,913)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11,856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15,430</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Dollar amount of distributions declared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13,823</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15,403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15,793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13,282</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color w:val="auto"/>
              </w:rPr>
              <w:t>Net investment income</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color w:val="auto"/>
                <w:w w:val="95"/>
              </w:rPr>
              <w:t>Net change in unrealized (depreciation) appreciation on investments</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color w:val="auto"/>
              </w:rPr>
              <w:t>Per share distributions declared</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1.335</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Assets and Liabilities Data:</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248,441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222,099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194,003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250,267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205,101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18,308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12,047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45,249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30,629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20,095</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266,749</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234,146</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239,252</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280,896</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225,196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126,853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94,075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95,597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114,954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81,753</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132,492</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99,071</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100,060</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121,145</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86,948</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134,257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135,075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139,192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159,751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 yield on debt investments at fair value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color w:val="auto"/>
              </w:rPr>
              <w:t>Weighted yield on all investments at fair value</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portfolio companies at period end: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color w:val="auto"/>
              </w:rPr>
              <w:t>Debt investments</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Warrants investments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8"/>
                <w:szCs w:val="18"/>
                <w:color w:val="auto"/>
              </w:rPr>
              <w:t>Equity investments</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36"/>
        </w:trPr>
        <w:tc>
          <w:tcPr>
            <w:tcW w:w="5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i w:val="1"/>
          <w:iCs w:val="1"/>
          <w:color w:val="auto"/>
        </w:rPr>
        <w:t>The information contained in this section should be read in conjunction with our consolidated financial statements and related notes thereto appearing elsewhere in this annual report on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This annual report on Form 10-K,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annual report on Form 10-K involve risks and uncertainties, including statements as to:</w:t>
      </w:r>
    </w:p>
    <w:p>
      <w:pPr>
        <w:spacing w:after="0" w:line="147"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future operating results, including the performance of our existing debt investments, warrants and other investments;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introduction, withdrawal, success and timing of business initiatives and strategies;</w:t>
      </w:r>
    </w:p>
    <w:p>
      <w:pPr>
        <w:spacing w:after="0" w:line="5" w:lineRule="exact"/>
        <w:rPr>
          <w:rFonts w:ascii="Arial" w:cs="Arial" w:eastAsia="Arial" w:hAnsi="Arial"/>
          <w:sz w:val="18"/>
          <w:szCs w:val="18"/>
          <w:color w:val="auto"/>
        </w:rPr>
      </w:pPr>
    </w:p>
    <w:p>
      <w:pPr>
        <w:ind w:left="640" w:hanging="316"/>
        <w:spacing w:after="0" w:line="245"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financial and capital markets, which could result in changes in the value of our assets;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relative and absolute investment performance and operations of our Advisor;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increased competition;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investments we intend to make and future acquisitions and divestitures;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unfavorable resolution of legal proceedings;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extent and timing of technological changes and the adequacy of intellectual property protection;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regulatory structure and tax status;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qualify and maintain qualification as a RIC and as a BDC;</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interest rate volatility on our results, particularly if we use leverage as part of our investment strategy;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w:t>
      </w:r>
    </w:p>
    <w:p>
      <w:pPr>
        <w:spacing w:after="0" w:line="5" w:lineRule="exact"/>
        <w:rPr>
          <w:rFonts w:ascii="Arial" w:cs="Arial" w:eastAsia="Arial" w:hAnsi="Arial"/>
          <w:sz w:val="18"/>
          <w:szCs w:val="18"/>
          <w:color w:val="auto"/>
        </w:rPr>
      </w:pPr>
    </w:p>
    <w:p>
      <w:pPr>
        <w:ind w:left="640" w:hanging="316"/>
        <w:spacing w:after="0" w:line="245"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legislative and regulatory actions and reforms and regulatory supervisory or enforcement actions of government agencies relating to us or our Advisor;</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the SBCAA on our operations and the BDC industry;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access capital and any future financings by us;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our Advisor to attract and retain highly talented professionals;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changes to tax legislation and, generally, our tax position;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fund unfunded commitments.</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“Item 1A – Risk Factors” and elsewhere in our annual report on Form 10-K.</w:t>
      </w:r>
    </w:p>
    <w:p>
      <w:pPr>
        <w:spacing w:after="0" w:line="18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annual report on Form 10-K, whether as a result of new information, future events or otherwise, you are advised to consult any additional disclosures that we may make directly to you or through reports that we in the future may file with the SEC, including quarterly reports on Form 10-Q and current reports on Form 8-K.</w:t>
      </w:r>
    </w:p>
    <w:p>
      <w:pPr>
        <w:spacing w:after="0" w:line="14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You should understand that under Sections 27A(b)(2)(B) and (D) of the Securities Act and Sections 21E(b)(2)(B) and (D) of the Exchange Act, the “safe harbor” provisions of the Private Securities Litigation Reform Act of 1995 do not apply to statements made in connection with this annual report on Form 10-K or any periodic reports we file under the Exchange Act.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Overview</w:t>
      </w:r>
    </w:p>
    <w:p>
      <w:pPr>
        <w:spacing w:after="0" w:line="2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a specialty finance company that lends to and invests in development-stage companies in our Target Industries. Our investment objective is to maximize our investment portfolio’s total return by generating current income from the debt investments we make and capital appreciation from the warrants we receive when making such debt investments. We are focused on making Venture Loans to venture capital backed companies in our Target Industries, which we refer to as “Venture Lending.” We also selectively provide Venture Loans to publicly traded companies in our Target Industries. Our debt investments are typically secured by first liens or first liens behind a secured revolving line of credit, or Senior Term Loans. As of December 31, 2018, 98.5%, or $213.2 million, of our debt investment portfolio at fair value consisted of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relatively rapid amortization of the Venture Loan and (4) the lender’s receipt of warrants or other success fees with the making of the Venture Loan.</w:t>
      </w:r>
    </w:p>
    <w:p>
      <w:pPr>
        <w:spacing w:after="0" w:line="18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are an externally managed, closed-end, non-diversified management investment company that has elected to be regulated as a BDC under the 1940 Act. In addition, for U.S. federal income tax purposes, we have elected to be treated as a RIC under Subchapter M of the Code. As a BDC, we are required to comply with regulatory requirements, including limitations on our use of debt. We are permitted to, and expect to, finance our investments through borrowings. On March 23, 2018, the SBCAA amended Section 61(a) of the 1940 Act to add Section 61(a)(2) which enables BDCs to reduce their asset coverage requirements from 200% to 150%. This provision permits a BDC to double the maximum amount of leverage that it is permitted to incur, so long as the BDC meets certain disclosure requirements and obtains certain approvals. As defined in the 1940 Act, asset coverage of 150% means that for every $100 of net assets a BDC holds, it may raise up to $200 from borrowing and issuing senior securities. We received approval from our stockholders to reduce our asset coverage requirement from 200% to 150% on October 30, 2018. The amount of leverage that we may employ will depend on our assessment of market conditions and other factors at the time of any proposed borrowing. As a RIC, we generally are not subject to corporate-level income taxes on our investment company taxable income, determined without regard to any deductions for dividends paid, and our net capital gain that we distribute as dividends for U.S. federal income tax purposes to our stockholders as long as we meet certain source-of-income, distribution, asset diversification and other requirements.</w:t>
      </w:r>
    </w:p>
    <w:p>
      <w:pPr>
        <w:spacing w:after="0" w:line="15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Compass Horizon, our predecessor company, commenced operations in March 2008. We were formed in March 2010 for the purpose of acquiring Compass Horizon and continuing its business as a public entity.</w:t>
      </w:r>
    </w:p>
    <w:p>
      <w:pPr>
        <w:spacing w:after="0" w:line="17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investment activities, and our day-to-day operations, are managed by our Advisor and supervised by our Board, of which a majority of the members are independent of us. Under the Investment Management Agreement, we have agreed to pay our Advisor a base management fee and an incentive fee for its advisory services to us. We have also entered into the Administration Agreement with our Advisor under which we have agreed to reimburse our Advisor for our allocable portion of overhead and other expenses incurred by our Advisor in performing its obligations under the Administration Agreement.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portfolio by type of investment as of December 31, 2018 and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8"/>
              </w:rPr>
              <w:t>December 31, 2018</w:t>
            </w:r>
          </w:p>
        </w:tc>
        <w:tc>
          <w:tcPr>
            <w:tcW w:w="10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2017</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4"/>
              </w:rPr>
              <w:t>Percentage</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Number of</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Fair</w:t>
            </w:r>
          </w:p>
        </w:tc>
        <w:tc>
          <w:tcPr>
            <w:tcW w:w="1280" w:type="dxa"/>
            <w:vAlign w:val="bottom"/>
            <w:gridSpan w:val="2"/>
          </w:tcPr>
          <w:p>
            <w:pPr>
              <w:jc w:val="center"/>
              <w:ind w:right="172"/>
              <w:spacing w:after="0"/>
              <w:rPr>
                <w:sz w:val="20"/>
                <w:szCs w:val="20"/>
                <w:color w:val="auto"/>
              </w:rPr>
            </w:pPr>
            <w:r>
              <w:rPr>
                <w:rFonts w:ascii="Arial" w:cs="Arial" w:eastAsia="Arial" w:hAnsi="Arial"/>
                <w:sz w:val="18"/>
                <w:szCs w:val="18"/>
                <w:b w:val="1"/>
                <w:bCs w:val="1"/>
                <w:color w:val="auto"/>
                <w:w w:val="89"/>
              </w:rPr>
              <w:t>of Total</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w w:val="97"/>
              </w:rPr>
              <w:t>Number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2"/>
          </w:tcPr>
          <w:p>
            <w:pPr>
              <w:jc w:val="center"/>
              <w:ind w:right="72"/>
              <w:spacing w:after="0"/>
              <w:rPr>
                <w:sz w:val="20"/>
                <w:szCs w:val="20"/>
                <w:color w:val="auto"/>
              </w:rPr>
            </w:pPr>
            <w:r>
              <w:rPr>
                <w:rFonts w:ascii="Arial" w:cs="Arial" w:eastAsia="Arial" w:hAnsi="Arial"/>
                <w:sz w:val="18"/>
                <w:szCs w:val="18"/>
                <w:b w:val="1"/>
                <w:bCs w:val="1"/>
                <w:color w:val="auto"/>
                <w:w w:val="86"/>
              </w:rPr>
              <w:t>of Total</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9"/>
              </w:rPr>
              <w:t>Investments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1280" w:type="dxa"/>
            <w:vAlign w:val="bottom"/>
            <w:gridSpan w:val="2"/>
          </w:tcPr>
          <w:p>
            <w:pPr>
              <w:jc w:val="center"/>
              <w:ind w:right="172"/>
              <w:spacing w:after="0"/>
              <w:rPr>
                <w:sz w:val="20"/>
                <w:szCs w:val="20"/>
                <w:color w:val="auto"/>
              </w:rPr>
            </w:pPr>
            <w:r>
              <w:rPr>
                <w:rFonts w:ascii="Arial" w:cs="Arial" w:eastAsia="Arial" w:hAnsi="Arial"/>
                <w:sz w:val="18"/>
                <w:szCs w:val="18"/>
                <w:b w:val="1"/>
                <w:bCs w:val="1"/>
                <w:color w:val="auto"/>
                <w:w w:val="89"/>
              </w:rPr>
              <w:t>Portfolio</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89"/>
              </w:rPr>
              <w:t>Investments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160" w:type="dxa"/>
            <w:vAlign w:val="bottom"/>
            <w:gridSpan w:val="2"/>
          </w:tcPr>
          <w:p>
            <w:pPr>
              <w:jc w:val="center"/>
              <w:ind w:right="72"/>
              <w:spacing w:after="0"/>
              <w:rPr>
                <w:sz w:val="20"/>
                <w:szCs w:val="20"/>
                <w:color w:val="auto"/>
              </w:rPr>
            </w:pPr>
            <w:r>
              <w:rPr>
                <w:rFonts w:ascii="Arial" w:cs="Arial" w:eastAsia="Arial" w:hAnsi="Arial"/>
                <w:sz w:val="18"/>
                <w:szCs w:val="18"/>
                <w:b w:val="1"/>
                <w:bCs w:val="1"/>
                <w:color w:val="auto"/>
                <w:w w:val="91"/>
              </w:rPr>
              <w:t>Portfolio</w:t>
            </w:r>
          </w:p>
        </w:tc>
        <w:tc>
          <w:tcPr>
            <w:tcW w:w="0" w:type="dxa"/>
            <w:vAlign w:val="bottom"/>
          </w:tcPr>
          <w:p>
            <w:pPr>
              <w:spacing w:after="0"/>
              <w:rPr>
                <w:sz w:val="1"/>
                <w:szCs w:val="1"/>
                <w:color w:val="auto"/>
              </w:rPr>
            </w:pPr>
          </w:p>
        </w:tc>
      </w:tr>
      <w:tr>
        <w:trPr>
          <w:trHeight w:val="206"/>
        </w:trPr>
        <w:tc>
          <w:tcPr>
            <w:tcW w:w="40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tcBorders>
              <w:top w:val="single" w:sz="8" w:color="auto"/>
            </w:tcBorders>
            <w:gridSpan w:val="3"/>
          </w:tcPr>
          <w:p>
            <w:pPr>
              <w:jc w:val="right"/>
              <w:ind w:right="212"/>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216,401</w:t>
            </w:r>
          </w:p>
        </w:tc>
        <w:tc>
          <w:tcPr>
            <w:tcW w:w="1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87.1%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203,793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2"/>
        </w:trPr>
        <w:tc>
          <w:tcPr>
            <w:tcW w:w="4020" w:type="dxa"/>
            <w:vAlign w:val="bottom"/>
          </w:tcPr>
          <w:p>
            <w:pPr>
              <w:spacing w:after="0"/>
              <w:rPr>
                <w:sz w:val="20"/>
                <w:szCs w:val="20"/>
                <w:color w:val="auto"/>
              </w:rPr>
            </w:pPr>
            <w:r>
              <w:rPr>
                <w:rFonts w:ascii="Arial" w:cs="Arial" w:eastAsia="Arial" w:hAnsi="Arial"/>
                <w:sz w:val="18"/>
                <w:szCs w:val="18"/>
                <w:color w:val="auto"/>
              </w:rPr>
              <w:t>Warrants</w:t>
            </w: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9,324</w:t>
            </w:r>
          </w:p>
        </w:tc>
        <w:tc>
          <w:tcPr>
            <w:tcW w:w="1280" w:type="dxa"/>
            <w:vAlign w:val="bottom"/>
            <w:gridSpan w:val="2"/>
          </w:tcPr>
          <w:p>
            <w:pPr>
              <w:jc w:val="right"/>
              <w:ind w:right="172"/>
              <w:spacing w:after="0"/>
              <w:rPr>
                <w:sz w:val="20"/>
                <w:szCs w:val="20"/>
                <w:color w:val="auto"/>
              </w:rPr>
            </w:pPr>
            <w:r>
              <w:rPr>
                <w:rFonts w:ascii="Arial" w:cs="Arial" w:eastAsia="Arial" w:hAnsi="Arial"/>
                <w:sz w:val="18"/>
                <w:szCs w:val="18"/>
                <w:color w:val="auto"/>
              </w:rPr>
              <w:t>3.8</w:t>
            </w: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9,090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7,640</w:t>
            </w:r>
          </w:p>
        </w:tc>
        <w:tc>
          <w:tcPr>
            <w:tcW w:w="12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20"/>
                <w:szCs w:val="20"/>
                <w:color w:val="auto"/>
              </w:rPr>
            </w:pPr>
            <w:r>
              <w:rPr>
                <w:rFonts w:ascii="Arial" w:cs="Arial" w:eastAsia="Arial" w:hAnsi="Arial"/>
                <w:sz w:val="18"/>
                <w:szCs w:val="18"/>
                <w:color w:val="auto"/>
              </w:rPr>
              <w:t>Equity</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1,833</w:t>
            </w:r>
          </w:p>
        </w:tc>
        <w:tc>
          <w:tcPr>
            <w:tcW w:w="1280" w:type="dxa"/>
            <w:vAlign w:val="bottom"/>
            <w:gridSpan w:val="2"/>
          </w:tcPr>
          <w:p>
            <w:pPr>
              <w:jc w:val="right"/>
              <w:ind w:right="172"/>
              <w:spacing w:after="0"/>
              <w:rPr>
                <w:sz w:val="20"/>
                <w:szCs w:val="20"/>
                <w:color w:val="auto"/>
              </w:rPr>
            </w:pPr>
            <w:r>
              <w:rPr>
                <w:rFonts w:ascii="Arial" w:cs="Arial" w:eastAsia="Arial" w:hAnsi="Arial"/>
                <w:sz w:val="18"/>
                <w:szCs w:val="18"/>
                <w:color w:val="auto"/>
              </w:rPr>
              <w:t>0.7</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 in HSLFI</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32"/>
              <w:spacing w:after="0"/>
              <w:rPr>
                <w:sz w:val="20"/>
                <w:szCs w:val="20"/>
                <w:color w:val="auto"/>
              </w:rPr>
            </w:pPr>
            <w:r>
              <w:rPr>
                <w:rFonts w:ascii="Arial" w:cs="Arial" w:eastAsia="Arial" w:hAnsi="Arial"/>
                <w:sz w:val="18"/>
                <w:szCs w:val="18"/>
                <w:color w:val="auto"/>
                <w:w w:val="74"/>
              </w:rPr>
              <w:t>%</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9"/>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248,441</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222,099</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4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0" w:right="239" w:bottom="1440" w:gutter="0" w:footer="0" w:header="0"/>
        </w:sectPr>
      </w:pPr>
    </w:p>
    <w:bookmarkStart w:id="62" w:name="page63"/>
    <w:bookmarkEnd w:id="62"/>
    <w:p>
      <w:pPr>
        <w:ind w:left="320"/>
        <w:spacing w:after="0"/>
        <w:rPr>
          <w:sz w:val="20"/>
          <w:szCs w:val="20"/>
          <w:color w:val="auto"/>
        </w:rPr>
      </w:pPr>
      <w:r>
        <w:rPr>
          <w:rFonts w:ascii="Arial" w:cs="Arial" w:eastAsia="Arial" w:hAnsi="Arial"/>
          <w:sz w:val="18"/>
          <w:szCs w:val="18"/>
          <w:color w:val="auto"/>
        </w:rPr>
        <w:t>The following table shows total portfolio investment activity as of and for the years ended December 31, 2018 and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9"/>
        </w:trPr>
        <w:tc>
          <w:tcPr>
            <w:tcW w:w="8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84"/>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5"/>
        </w:trPr>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3"/>
          </w:tcPr>
          <w:p>
            <w:pPr>
              <w:jc w:val="right"/>
              <w:spacing w:after="0" w:line="206" w:lineRule="exact"/>
              <w:rPr>
                <w:sz w:val="20"/>
                <w:szCs w:val="20"/>
                <w:color w:val="auto"/>
              </w:rPr>
            </w:pPr>
            <w:r>
              <w:rPr>
                <w:rFonts w:ascii="Arial" w:cs="Arial" w:eastAsia="Arial" w:hAnsi="Arial"/>
                <w:sz w:val="18"/>
                <w:szCs w:val="18"/>
                <w:b w:val="1"/>
                <w:bCs w:val="1"/>
                <w:color w:val="auto"/>
              </w:rPr>
              <w:t>(In thousands)</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Beginning portfolio</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222,099</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194,003</w:t>
            </w:r>
          </w:p>
        </w:tc>
        <w:tc>
          <w:tcPr>
            <w:tcW w:w="80" w:type="dxa"/>
            <w:vAlign w:val="bottom"/>
            <w:shd w:val="clear" w:color="auto" w:fill="CCEEFF"/>
          </w:tcPr>
          <w:p>
            <w:pPr>
              <w:spacing w:after="0"/>
              <w:rPr>
                <w:sz w:val="18"/>
                <w:szCs w:val="18"/>
                <w:color w:val="auto"/>
              </w:rPr>
            </w:pPr>
          </w:p>
        </w:tc>
      </w:tr>
      <w:tr>
        <w:trPr>
          <w:trHeight w:val="212"/>
        </w:trPr>
        <w:tc>
          <w:tcPr>
            <w:tcW w:w="8580" w:type="dxa"/>
            <w:vAlign w:val="bottom"/>
          </w:tcPr>
          <w:p>
            <w:pPr>
              <w:spacing w:after="0"/>
              <w:rPr>
                <w:sz w:val="20"/>
                <w:szCs w:val="20"/>
                <w:color w:val="auto"/>
              </w:rPr>
            </w:pPr>
            <w:r>
              <w:rPr>
                <w:rFonts w:ascii="Arial" w:cs="Arial" w:eastAsia="Arial" w:hAnsi="Arial"/>
                <w:sz w:val="18"/>
                <w:szCs w:val="18"/>
                <w:color w:val="auto"/>
              </w:rPr>
              <w:t>New debt investments</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111,725</w:t>
            </w: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139,256</w:t>
            </w:r>
          </w:p>
        </w:tc>
        <w:tc>
          <w:tcPr>
            <w:tcW w:w="80" w:type="dxa"/>
            <w:vAlign w:val="bottom"/>
          </w:tcPr>
          <w:p>
            <w:pPr>
              <w:spacing w:after="0"/>
              <w:rPr>
                <w:sz w:val="18"/>
                <w:szCs w:val="18"/>
                <w:color w:val="auto"/>
              </w:rPr>
            </w:pPr>
          </w:p>
        </w:tc>
      </w:tr>
      <w:tr>
        <w:trPr>
          <w:trHeight w:val="225"/>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Less refinanced debt investments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(10,468)</w:t>
            </w:r>
          </w:p>
        </w:tc>
        <w:tc>
          <w:tcPr>
            <w:tcW w:w="4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(3,700)</w:t>
            </w:r>
          </w:p>
        </w:tc>
      </w:tr>
      <w:tr>
        <w:trPr>
          <w:trHeight w:val="205"/>
        </w:trPr>
        <w:tc>
          <w:tcPr>
            <w:tcW w:w="85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new debt investments</w:t>
            </w: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101,257</w:t>
            </w:r>
          </w:p>
        </w:tc>
        <w:tc>
          <w:tcPr>
            <w:tcW w:w="2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135,556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5"/>
        </w:trPr>
        <w:tc>
          <w:tcPr>
            <w:tcW w:w="85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Investment in controlled affiliate investments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13,262</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7"/>
                <w:szCs w:val="17"/>
                <w:color w:val="auto"/>
              </w:rPr>
            </w:pPr>
          </w:p>
        </w:tc>
      </w:tr>
      <w:tr>
        <w:trPr>
          <w:trHeight w:val="212"/>
        </w:trPr>
        <w:tc>
          <w:tcPr>
            <w:tcW w:w="858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(24,254)</w:t>
            </w:r>
          </w:p>
        </w:tc>
        <w:tc>
          <w:tcPr>
            <w:tcW w:w="4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(30,477)</w:t>
            </w:r>
          </w:p>
        </w:tc>
      </w:tr>
      <w:tr>
        <w:trPr>
          <w:trHeight w:val="212"/>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Early pay-offs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(60,185)</w:t>
            </w: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(72,613)</w:t>
            </w:r>
          </w:p>
        </w:tc>
      </w:tr>
      <w:tr>
        <w:trPr>
          <w:trHeight w:val="212"/>
        </w:trPr>
        <w:tc>
          <w:tcPr>
            <w:tcW w:w="8580" w:type="dxa"/>
            <w:vAlign w:val="bottom"/>
          </w:tcPr>
          <w:p>
            <w:pPr>
              <w:spacing w:after="0"/>
              <w:rPr>
                <w:sz w:val="20"/>
                <w:szCs w:val="20"/>
                <w:color w:val="auto"/>
              </w:rPr>
            </w:pPr>
            <w:r>
              <w:rPr>
                <w:rFonts w:ascii="Arial" w:cs="Arial" w:eastAsia="Arial" w:hAnsi="Arial"/>
                <w:sz w:val="18"/>
                <w:szCs w:val="18"/>
                <w:color w:val="auto"/>
              </w:rPr>
              <w:t>Accretion of debt investment fees</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2,390</w:t>
            </w: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1,881</w:t>
            </w:r>
          </w:p>
        </w:tc>
        <w:tc>
          <w:tcPr>
            <w:tcW w:w="80" w:type="dxa"/>
            <w:vAlign w:val="bottom"/>
          </w:tcPr>
          <w:p>
            <w:pPr>
              <w:spacing w:after="0"/>
              <w:rPr>
                <w:sz w:val="18"/>
                <w:szCs w:val="18"/>
                <w:color w:val="auto"/>
              </w:rPr>
            </w:pPr>
          </w:p>
        </w:tc>
      </w:tr>
      <w:tr>
        <w:trPr>
          <w:trHeight w:val="212"/>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New debt investment fees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(2,279)</w:t>
            </w: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(1,705)</w:t>
            </w:r>
          </w:p>
        </w:tc>
      </w:tr>
      <w:tr>
        <w:trPr>
          <w:trHeight w:val="212"/>
        </w:trPr>
        <w:tc>
          <w:tcPr>
            <w:tcW w:w="8580" w:type="dxa"/>
            <w:vAlign w:val="bottom"/>
          </w:tcPr>
          <w:p>
            <w:pPr>
              <w:spacing w:after="0"/>
              <w:rPr>
                <w:sz w:val="20"/>
                <w:szCs w:val="20"/>
                <w:color w:val="auto"/>
              </w:rPr>
            </w:pPr>
            <w:r>
              <w:rPr>
                <w:rFonts w:ascii="Arial" w:cs="Arial" w:eastAsia="Arial" w:hAnsi="Arial"/>
                <w:sz w:val="18"/>
                <w:szCs w:val="18"/>
                <w:color w:val="auto"/>
              </w:rPr>
              <w:t>New equity</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1,090</w:t>
            </w:r>
          </w:p>
        </w:tc>
        <w:tc>
          <w:tcPr>
            <w:tcW w:w="4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Warrants received in settlement of fee income</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8580" w:type="dxa"/>
            <w:vAlign w:val="bottom"/>
          </w:tcPr>
          <w:p>
            <w:pPr>
              <w:spacing w:after="0"/>
              <w:rPr>
                <w:sz w:val="20"/>
                <w:szCs w:val="20"/>
                <w:color w:val="auto"/>
              </w:rPr>
            </w:pPr>
            <w:r>
              <w:rPr>
                <w:rFonts w:ascii="Arial" w:cs="Arial" w:eastAsia="Arial" w:hAnsi="Arial"/>
                <w:sz w:val="18"/>
                <w:szCs w:val="18"/>
                <w:color w:val="auto"/>
              </w:rPr>
              <w:t>Proceeds from sale of investments</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(4,293)</w:t>
            </w:r>
          </w:p>
        </w:tc>
        <w:tc>
          <w:tcPr>
            <w:tcW w:w="4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(1,840)</w:t>
            </w:r>
          </w:p>
        </w:tc>
      </w:tr>
      <w:tr>
        <w:trPr>
          <w:trHeight w:val="212"/>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 from controlled affiliate investments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8580" w:type="dxa"/>
            <w:vAlign w:val="bottom"/>
          </w:tcPr>
          <w:p>
            <w:pPr>
              <w:spacing w:after="0"/>
              <w:rPr>
                <w:sz w:val="20"/>
                <w:szCs w:val="20"/>
                <w:color w:val="auto"/>
              </w:rPr>
            </w:pPr>
            <w:r>
              <w:rPr>
                <w:rFonts w:ascii="Arial" w:cs="Arial" w:eastAsia="Arial" w:hAnsi="Arial"/>
                <w:sz w:val="18"/>
                <w:szCs w:val="18"/>
                <w:color w:val="auto"/>
              </w:rPr>
              <w:t>Distributions from controlled affiliate investments</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4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w:t>
            </w: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(21,191)</w:t>
            </w:r>
          </w:p>
        </w:tc>
      </w:tr>
      <w:tr>
        <w:trPr>
          <w:trHeight w:val="212"/>
        </w:trPr>
        <w:tc>
          <w:tcPr>
            <w:tcW w:w="8580" w:type="dxa"/>
            <w:vAlign w:val="bottom"/>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(1,501)</w:t>
            </w: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18,485</w:t>
            </w:r>
          </w:p>
        </w:tc>
        <w:tc>
          <w:tcPr>
            <w:tcW w:w="80" w:type="dxa"/>
            <w:vAlign w:val="bottom"/>
          </w:tcPr>
          <w:p>
            <w:pPr>
              <w:spacing w:after="0"/>
              <w:rPr>
                <w:sz w:val="18"/>
                <w:szCs w:val="18"/>
                <w:color w:val="auto"/>
              </w:rPr>
            </w:pPr>
          </w:p>
        </w:tc>
      </w:tr>
      <w:tr>
        <w:trPr>
          <w:trHeight w:val="225"/>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r>
      <w:tr>
        <w:trPr>
          <w:trHeight w:val="218"/>
        </w:trPr>
        <w:tc>
          <w:tcPr>
            <w:tcW w:w="8580" w:type="dxa"/>
            <w:vAlign w:val="bottom"/>
          </w:tcPr>
          <w:p>
            <w:pPr>
              <w:spacing w:after="0" w:line="203" w:lineRule="exact"/>
              <w:rPr>
                <w:sz w:val="20"/>
                <w:szCs w:val="20"/>
                <w:color w:val="auto"/>
              </w:rPr>
            </w:pPr>
            <w:r>
              <w:rPr>
                <w:rFonts w:ascii="Arial" w:cs="Arial" w:eastAsia="Arial" w:hAnsi="Arial"/>
                <w:sz w:val="18"/>
                <w:szCs w:val="18"/>
                <w:color w:val="auto"/>
              </w:rPr>
              <w:t>Ending portfolio</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248,441</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222,099</w:t>
            </w:r>
          </w:p>
        </w:tc>
        <w:tc>
          <w:tcPr>
            <w:tcW w:w="80" w:type="dxa"/>
            <w:vAlign w:val="bottom"/>
          </w:tcPr>
          <w:p>
            <w:pPr>
              <w:spacing w:after="0"/>
              <w:rPr>
                <w:sz w:val="18"/>
                <w:szCs w:val="18"/>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318"/>
        <w:spacing w:after="0" w:line="366" w:lineRule="auto"/>
        <w:rPr>
          <w:sz w:val="20"/>
          <w:szCs w:val="20"/>
          <w:color w:val="auto"/>
        </w:rPr>
      </w:pPr>
      <w:r>
        <w:rPr>
          <w:rFonts w:ascii="Arial" w:cs="Arial" w:eastAsia="Arial" w:hAnsi="Arial"/>
          <w:sz w:val="15"/>
          <w:szCs w:val="15"/>
          <w:color w:val="auto"/>
        </w:rPr>
        <w:t>We receive payments on our debt investments based on scheduled amortization of the outstanding balances. In addition, we receive repayments of some of our debt investments prior to their scheduled maturity date. The frequency or volume of these repayments may fluctuate significantly from period to period.</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debt investments by industry sector as of December 31, 2018 and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4"/>
          </w:tcPr>
          <w:p>
            <w:pPr>
              <w:jc w:val="right"/>
              <w:ind w:right="752"/>
              <w:spacing w:after="0"/>
              <w:rPr>
                <w:sz w:val="20"/>
                <w:szCs w:val="20"/>
                <w:color w:val="auto"/>
              </w:rPr>
            </w:pPr>
            <w:r>
              <w:rPr>
                <w:rFonts w:ascii="Arial" w:cs="Arial" w:eastAsia="Arial" w:hAnsi="Arial"/>
                <w:sz w:val="18"/>
                <w:szCs w:val="18"/>
                <w:b w:val="1"/>
                <w:bCs w:val="1"/>
                <w:color w:val="auto"/>
              </w:rPr>
              <w:t>December 31, 2018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00" w:type="dxa"/>
            <w:vAlign w:val="bottom"/>
            <w:gridSpan w:val="4"/>
          </w:tcPr>
          <w:p>
            <w:pPr>
              <w:jc w:val="right"/>
              <w:ind w:right="712"/>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40"/>
              <w:spacing w:after="0" w:line="189" w:lineRule="exact"/>
              <w:rPr>
                <w:sz w:val="20"/>
                <w:szCs w:val="20"/>
                <w:color w:val="auto"/>
              </w:rPr>
            </w:pPr>
            <w:r>
              <w:rPr>
                <w:rFonts w:ascii="Arial" w:cs="Arial" w:eastAsia="Arial" w:hAnsi="Arial"/>
                <w:sz w:val="18"/>
                <w:szCs w:val="18"/>
                <w:b w:val="1"/>
                <w:bCs w:val="1"/>
                <w:color w:val="auto"/>
                <w:w w:val="94"/>
              </w:rPr>
              <w:t>Debt</w:t>
            </w:r>
          </w:p>
        </w:tc>
        <w:tc>
          <w:tcPr>
            <w:tcW w:w="12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4"/>
              </w:rPr>
              <w:t>Percentage</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80"/>
              <w:spacing w:after="0" w:line="189" w:lineRule="exact"/>
              <w:rPr>
                <w:sz w:val="20"/>
                <w:szCs w:val="20"/>
                <w:color w:val="auto"/>
              </w:rPr>
            </w:pPr>
            <w:r>
              <w:rPr>
                <w:rFonts w:ascii="Arial" w:cs="Arial" w:eastAsia="Arial" w:hAnsi="Arial"/>
                <w:sz w:val="18"/>
                <w:szCs w:val="18"/>
                <w:b w:val="1"/>
                <w:bCs w:val="1"/>
                <w:color w:val="auto"/>
                <w:w w:val="89"/>
              </w:rPr>
              <w:t>Debt</w:t>
            </w:r>
          </w:p>
        </w:tc>
        <w:tc>
          <w:tcPr>
            <w:tcW w:w="12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Investments at</w:t>
            </w:r>
          </w:p>
        </w:tc>
        <w:tc>
          <w:tcPr>
            <w:tcW w:w="1460" w:type="dxa"/>
            <w:vAlign w:val="bottom"/>
            <w:gridSpan w:val="2"/>
          </w:tcPr>
          <w:p>
            <w:pPr>
              <w:jc w:val="center"/>
              <w:ind w:right="112"/>
              <w:spacing w:after="0"/>
              <w:rPr>
                <w:sz w:val="20"/>
                <w:szCs w:val="20"/>
                <w:color w:val="auto"/>
              </w:rPr>
            </w:pPr>
            <w:r>
              <w:rPr>
                <w:rFonts w:ascii="Arial" w:cs="Arial" w:eastAsia="Arial" w:hAnsi="Arial"/>
                <w:sz w:val="18"/>
                <w:szCs w:val="18"/>
                <w:b w:val="1"/>
                <w:bCs w:val="1"/>
                <w:color w:val="auto"/>
                <w:w w:val="89"/>
              </w:rPr>
              <w:t>of Total</w:t>
            </w:r>
          </w:p>
        </w:tc>
        <w:tc>
          <w:tcPr>
            <w:tcW w:w="6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Investments at</w:t>
            </w:r>
          </w:p>
        </w:tc>
        <w:tc>
          <w:tcPr>
            <w:tcW w:w="1400" w:type="dxa"/>
            <w:vAlign w:val="bottom"/>
            <w:gridSpan w:val="2"/>
          </w:tcPr>
          <w:p>
            <w:pPr>
              <w:jc w:val="center"/>
              <w:ind w:right="72"/>
              <w:spacing w:after="0"/>
              <w:rPr>
                <w:sz w:val="20"/>
                <w:szCs w:val="20"/>
                <w:color w:val="auto"/>
              </w:rPr>
            </w:pPr>
            <w:r>
              <w:rPr>
                <w:rFonts w:ascii="Arial" w:cs="Arial" w:eastAsia="Arial" w:hAnsi="Arial"/>
                <w:sz w:val="18"/>
                <w:szCs w:val="18"/>
                <w:b w:val="1"/>
                <w:bCs w:val="1"/>
                <w:color w:val="auto"/>
                <w:w w:val="86"/>
              </w:rPr>
              <w:t>of Total</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Fair Value</w:t>
            </w:r>
          </w:p>
        </w:tc>
        <w:tc>
          <w:tcPr>
            <w:tcW w:w="1460" w:type="dxa"/>
            <w:vAlign w:val="bottom"/>
            <w:gridSpan w:val="2"/>
          </w:tcPr>
          <w:p>
            <w:pPr>
              <w:jc w:val="center"/>
              <w:ind w:right="112"/>
              <w:spacing w:after="0"/>
              <w:rPr>
                <w:sz w:val="20"/>
                <w:szCs w:val="20"/>
                <w:color w:val="auto"/>
              </w:rPr>
            </w:pPr>
            <w:r>
              <w:rPr>
                <w:rFonts w:ascii="Arial" w:cs="Arial" w:eastAsia="Arial" w:hAnsi="Arial"/>
                <w:sz w:val="18"/>
                <w:szCs w:val="18"/>
                <w:b w:val="1"/>
                <w:bCs w:val="1"/>
                <w:color w:val="auto"/>
                <w:w w:val="89"/>
              </w:rPr>
              <w:t>Portfolio</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400" w:type="dxa"/>
            <w:vAlign w:val="bottom"/>
            <w:gridSpan w:val="2"/>
          </w:tcPr>
          <w:p>
            <w:pPr>
              <w:jc w:val="center"/>
              <w:ind w:right="72"/>
              <w:spacing w:after="0"/>
              <w:rPr>
                <w:sz w:val="20"/>
                <w:szCs w:val="20"/>
                <w:color w:val="auto"/>
              </w:rPr>
            </w:pPr>
            <w:r>
              <w:rPr>
                <w:rFonts w:ascii="Arial" w:cs="Arial" w:eastAsia="Arial" w:hAnsi="Arial"/>
                <w:sz w:val="18"/>
                <w:szCs w:val="18"/>
                <w:b w:val="1"/>
                <w:bCs w:val="1"/>
                <w:color w:val="auto"/>
                <w:w w:val="91"/>
              </w:rPr>
              <w:t>Portfolio</w:t>
            </w: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Borders>
              <w:top w:val="single" w:sz="8" w:color="auto"/>
            </w:tcBorders>
            <w:gridSpan w:val="5"/>
          </w:tcPr>
          <w:p>
            <w:pPr>
              <w:ind w:left="56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tcPr>
          <w:p>
            <w:pPr>
              <w:ind w:left="160"/>
              <w:spacing w:after="0"/>
              <w:rPr>
                <w:sz w:val="20"/>
                <w:szCs w:val="20"/>
                <w:color w:val="auto"/>
              </w:rPr>
            </w:pPr>
            <w:r>
              <w:rPr>
                <w:rFonts w:ascii="Arial" w:cs="Arial" w:eastAsia="Arial" w:hAnsi="Arial"/>
                <w:sz w:val="18"/>
                <w:szCs w:val="18"/>
                <w:color w:val="auto"/>
              </w:rPr>
              <w:t>Biotechnology</w:t>
            </w:r>
          </w:p>
        </w:tc>
        <w:tc>
          <w:tcPr>
            <w:tcW w:w="17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19,369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15,015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Drug Delivery</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1,495</w:t>
            </w:r>
          </w:p>
        </w:tc>
        <w:tc>
          <w:tcPr>
            <w:tcW w:w="14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tcPr>
          <w:p>
            <w:pPr>
              <w:ind w:left="160"/>
              <w:spacing w:after="0"/>
              <w:rPr>
                <w:sz w:val="20"/>
                <w:szCs w:val="20"/>
                <w:color w:val="auto"/>
              </w:rPr>
            </w:pPr>
            <w:r>
              <w:rPr>
                <w:rFonts w:ascii="Arial" w:cs="Arial" w:eastAsia="Arial" w:hAnsi="Arial"/>
                <w:sz w:val="18"/>
                <w:szCs w:val="18"/>
                <w:color w:val="auto"/>
              </w:rPr>
              <w:t>Medical Device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46,162</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36,173</w:t>
            </w:r>
          </w:p>
        </w:tc>
        <w:tc>
          <w:tcPr>
            <w:tcW w:w="1400" w:type="dxa"/>
            <w:vAlign w:val="bottom"/>
            <w:gridSpan w:val="2"/>
          </w:tcPr>
          <w:p>
            <w:pPr>
              <w:jc w:val="right"/>
              <w:ind w:right="7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10,539</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19,549</w:t>
            </w: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Consumer-Related</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20,491</w:t>
            </w:r>
          </w:p>
        </w:tc>
        <w:tc>
          <w:tcPr>
            <w:tcW w:w="14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tcPr>
          <w:p>
            <w:pPr>
              <w:ind w:left="160"/>
              <w:spacing w:after="0"/>
              <w:rPr>
                <w:sz w:val="20"/>
                <w:szCs w:val="20"/>
                <w:color w:val="auto"/>
              </w:rPr>
            </w:pPr>
            <w:r>
              <w:rPr>
                <w:rFonts w:ascii="Arial" w:cs="Arial" w:eastAsia="Arial" w:hAnsi="Arial"/>
                <w:sz w:val="18"/>
                <w:szCs w:val="18"/>
                <w:color w:val="auto"/>
              </w:rPr>
              <w:t>Data Storage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9,835</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Internet and Media</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36,984</w:t>
            </w:r>
          </w:p>
        </w:tc>
        <w:tc>
          <w:tcPr>
            <w:tcW w:w="14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38,899</w:t>
            </w:r>
          </w:p>
        </w:tc>
        <w:tc>
          <w:tcPr>
            <w:tcW w:w="1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2"/>
        </w:trPr>
        <w:tc>
          <w:tcPr>
            <w:tcW w:w="4100" w:type="dxa"/>
            <w:vAlign w:val="bottom"/>
          </w:tcPr>
          <w:p>
            <w:pPr>
              <w:ind w:left="160"/>
              <w:spacing w:after="0"/>
              <w:rPr>
                <w:sz w:val="20"/>
                <w:szCs w:val="20"/>
                <w:color w:val="auto"/>
              </w:rPr>
            </w:pPr>
            <w:r>
              <w:rPr>
                <w:rFonts w:ascii="Arial" w:cs="Arial" w:eastAsia="Arial" w:hAnsi="Arial"/>
                <w:sz w:val="18"/>
                <w:szCs w:val="18"/>
                <w:color w:val="auto"/>
              </w:rPr>
              <w:t>Materials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8,372</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9,324</w:t>
            </w:r>
          </w:p>
        </w:tc>
        <w:tc>
          <w:tcPr>
            <w:tcW w:w="124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Power Management</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w:t>
            </w:r>
          </w:p>
        </w:tc>
        <w:tc>
          <w:tcPr>
            <w:tcW w:w="14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tcPr>
          <w:p>
            <w:pPr>
              <w:ind w:left="160"/>
              <w:spacing w:after="0"/>
              <w:rPr>
                <w:sz w:val="20"/>
                <w:szCs w:val="20"/>
                <w:color w:val="auto"/>
              </w:rPr>
            </w:pPr>
            <w:r>
              <w:rPr>
                <w:rFonts w:ascii="Arial" w:cs="Arial" w:eastAsia="Arial" w:hAnsi="Arial"/>
                <w:sz w:val="18"/>
                <w:szCs w:val="18"/>
                <w:color w:val="auto"/>
              </w:rPr>
              <w:t>Semiconductors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3,413</w:t>
            </w:r>
          </w:p>
        </w:tc>
        <w:tc>
          <w:tcPr>
            <w:tcW w:w="1460" w:type="dxa"/>
            <w:vAlign w:val="bottom"/>
            <w:gridSpan w:val="2"/>
          </w:tcPr>
          <w:p>
            <w:pPr>
              <w:jc w:val="right"/>
              <w:ind w:right="112"/>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3,345</w:t>
            </w: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35,747</w:t>
            </w:r>
          </w:p>
        </w:tc>
        <w:tc>
          <w:tcPr>
            <w:tcW w:w="14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53,994</w:t>
            </w:r>
          </w:p>
        </w:tc>
        <w:tc>
          <w:tcPr>
            <w:tcW w:w="1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2"/>
        </w:trPr>
        <w:tc>
          <w:tcPr>
            <w:tcW w:w="4100" w:type="dxa"/>
            <w:vAlign w:val="bottom"/>
          </w:tcPr>
          <w:p>
            <w:pPr>
              <w:spacing w:after="0"/>
              <w:rPr>
                <w:sz w:val="20"/>
                <w:szCs w:val="20"/>
                <w:color w:val="auto"/>
              </w:rPr>
            </w:pPr>
            <w:r>
              <w:rPr>
                <w:rFonts w:ascii="Arial" w:cs="Arial" w:eastAsia="Arial" w:hAnsi="Arial"/>
                <w:sz w:val="18"/>
                <w:szCs w:val="18"/>
                <w:color w:val="auto"/>
              </w:rPr>
              <w:t>Healthcare Information and Services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23,482</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8"/>
        </w:trPr>
        <w:tc>
          <w:tcPr>
            <w:tcW w:w="410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216,401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vMerge w:val="continue"/>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203,793</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4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ind w:left="1540"/>
              <w:spacing w:after="0"/>
              <w:rPr>
                <w:sz w:val="20"/>
                <w:szCs w:val="20"/>
                <w:color w:val="auto"/>
              </w:rPr>
            </w:pPr>
            <w:r>
              <w:rPr>
                <w:rFonts w:ascii="Arial" w:cs="Arial" w:eastAsia="Arial" w:hAnsi="Arial"/>
                <w:sz w:val="18"/>
                <w:szCs w:val="18"/>
                <w:color w:val="auto"/>
                <w:w w:val="79"/>
              </w:rPr>
              <w:t>62</w:t>
            </w: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6" w:right="239" w:bottom="1440" w:gutter="0" w:footer="0" w:header="0"/>
        </w:sectPr>
      </w:pPr>
    </w:p>
    <w:bookmarkStart w:id="63" w:name="page64"/>
    <w:bookmarkEnd w:id="63"/>
    <w:p>
      <w:pPr>
        <w:jc w:val="both"/>
        <w:ind w:firstLine="318"/>
        <w:spacing w:after="0" w:line="277" w:lineRule="auto"/>
        <w:rPr>
          <w:sz w:val="20"/>
          <w:szCs w:val="20"/>
          <w:color w:val="auto"/>
        </w:rPr>
      </w:pPr>
      <w:r>
        <w:rPr>
          <w:rFonts w:ascii="Arial" w:cs="Arial" w:eastAsia="Arial" w:hAnsi="Arial"/>
          <w:sz w:val="17"/>
          <w:szCs w:val="17"/>
          <w:color w:val="auto"/>
        </w:rPr>
        <w:t>The largest debt investments in our portfolio may vary from year to year as new debt investments are originated and existing debt investments are repaid. Our five largest debt investments represented 32% and 29% of total debt investments outstanding as of December 31, 2018 and 2017, respectively. No single debt investment represented more than 10% of our total debt investments as of December 31, 2018 or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asset quality</w:t>
      </w:r>
    </w:p>
    <w:p>
      <w:pPr>
        <w:spacing w:after="0" w:line="22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use an internal credit rating system which rates each debt investment on a scale of 4 to 1, with 4 being the highest credit quality rating and 3 being the rating for a standard level of risk. A rating of 2 represents an increased level of risk and, while no loss is currently anticipated for a 2-rated debt investment, there is potential for future loss of principal. A rating of 1 represents a deteriorating credit quality and a high degree of risk of loss of principal. Our internal credit rating system is not a national credit rating system. See “Item 1 – Business” for a more detailed description of the internal credit rating system. As of December 31, 2018 and 2017, our debt investments had a weighted average credit rating of 3.1 and 3.0, respectively. The following table shows the classification of our debt investment portfolio by credit rating as of December 31, 2018 and 2017:</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8"/>
              </w:rPr>
              <w:t>December 31, 2018</w:t>
            </w:r>
          </w:p>
        </w:tc>
        <w:tc>
          <w:tcPr>
            <w:tcW w:w="12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December 31, 2017</w:t>
            </w:r>
          </w:p>
        </w:tc>
        <w:tc>
          <w:tcPr>
            <w:tcW w:w="12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94"/>
              </w:rPr>
              <w:t>Debt</w:t>
            </w:r>
          </w:p>
        </w:tc>
        <w:tc>
          <w:tcPr>
            <w:tcW w:w="12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4"/>
              </w:rPr>
              <w:t>Percentage</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89"/>
              </w:rPr>
              <w:t>Debt</w:t>
            </w:r>
          </w:p>
        </w:tc>
        <w:tc>
          <w:tcPr>
            <w:tcW w:w="1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1100" w:type="dxa"/>
            <w:vAlign w:val="bottom"/>
          </w:tcPr>
          <w:p>
            <w:pPr>
              <w:jc w:val="center"/>
              <w:ind w:left="112"/>
              <w:spacing w:after="0"/>
              <w:rPr>
                <w:sz w:val="20"/>
                <w:szCs w:val="20"/>
                <w:color w:val="auto"/>
              </w:rPr>
            </w:pPr>
            <w:r>
              <w:rPr>
                <w:rFonts w:ascii="Arial" w:cs="Arial" w:eastAsia="Arial" w:hAnsi="Arial"/>
                <w:sz w:val="18"/>
                <w:szCs w:val="18"/>
                <w:b w:val="1"/>
                <w:bCs w:val="1"/>
                <w:color w:val="auto"/>
                <w:w w:val="91"/>
              </w:rPr>
              <w:t>Number of</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Investments</w:t>
            </w:r>
          </w:p>
        </w:tc>
        <w:tc>
          <w:tcPr>
            <w:tcW w:w="1520" w:type="dxa"/>
            <w:vAlign w:val="bottom"/>
            <w:gridSpan w:val="2"/>
          </w:tcPr>
          <w:p>
            <w:pPr>
              <w:jc w:val="center"/>
              <w:ind w:right="172"/>
              <w:spacing w:after="0"/>
              <w:rPr>
                <w:sz w:val="20"/>
                <w:szCs w:val="20"/>
                <w:color w:val="auto"/>
              </w:rPr>
            </w:pPr>
            <w:r>
              <w:rPr>
                <w:rFonts w:ascii="Arial" w:cs="Arial" w:eastAsia="Arial" w:hAnsi="Arial"/>
                <w:sz w:val="18"/>
                <w:szCs w:val="18"/>
                <w:b w:val="1"/>
                <w:bCs w:val="1"/>
                <w:color w:val="auto"/>
                <w:w w:val="87"/>
              </w:rPr>
              <w:t>of Debt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2"/>
          </w:tcPr>
          <w:p>
            <w:pPr>
              <w:jc w:val="center"/>
              <w:ind w:right="72"/>
              <w:spacing w:after="0"/>
              <w:rPr>
                <w:sz w:val="20"/>
                <w:szCs w:val="20"/>
                <w:color w:val="auto"/>
              </w:rPr>
            </w:pPr>
            <w:r>
              <w:rPr>
                <w:rFonts w:ascii="Arial" w:cs="Arial" w:eastAsia="Arial" w:hAnsi="Arial"/>
                <w:sz w:val="18"/>
                <w:szCs w:val="18"/>
                <w:b w:val="1"/>
                <w:bCs w:val="1"/>
                <w:color w:val="auto"/>
                <w:w w:val="90"/>
              </w:rPr>
              <w:t>of Debt</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19"/>
                <w:szCs w:val="19"/>
                <w:color w:val="auto"/>
              </w:rPr>
            </w:pPr>
          </w:p>
        </w:tc>
        <w:tc>
          <w:tcPr>
            <w:tcW w:w="1100" w:type="dxa"/>
            <w:vAlign w:val="bottom"/>
          </w:tcPr>
          <w:p>
            <w:pPr>
              <w:jc w:val="center"/>
              <w:ind w:left="92"/>
              <w:spacing w:after="0"/>
              <w:rPr>
                <w:sz w:val="20"/>
                <w:szCs w:val="20"/>
                <w:color w:val="auto"/>
              </w:rPr>
            </w:pPr>
            <w:r>
              <w:rPr>
                <w:rFonts w:ascii="Arial" w:cs="Arial" w:eastAsia="Arial" w:hAnsi="Arial"/>
                <w:sz w:val="18"/>
                <w:szCs w:val="18"/>
                <w:b w:val="1"/>
                <w:bCs w:val="1"/>
                <w:color w:val="auto"/>
                <w:w w:val="87"/>
              </w:rPr>
              <w:t>Investments</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at Fair Value</w:t>
            </w:r>
          </w:p>
        </w:tc>
        <w:tc>
          <w:tcPr>
            <w:tcW w:w="1520" w:type="dxa"/>
            <w:vAlign w:val="bottom"/>
            <w:gridSpan w:val="2"/>
          </w:tcPr>
          <w:p>
            <w:pPr>
              <w:jc w:val="center"/>
              <w:ind w:right="172"/>
              <w:spacing w:after="0"/>
              <w:rPr>
                <w:sz w:val="20"/>
                <w:szCs w:val="20"/>
                <w:color w:val="auto"/>
              </w:rPr>
            </w:pPr>
            <w:r>
              <w:rPr>
                <w:rFonts w:ascii="Arial" w:cs="Arial" w:eastAsia="Arial" w:hAnsi="Arial"/>
                <w:sz w:val="18"/>
                <w:szCs w:val="18"/>
                <w:b w:val="1"/>
                <w:bCs w:val="1"/>
                <w:color w:val="auto"/>
                <w:w w:val="85"/>
              </w:rPr>
              <w:t>Investments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Investments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at Fair Value</w:t>
            </w:r>
          </w:p>
        </w:tc>
        <w:tc>
          <w:tcPr>
            <w:tcW w:w="1400" w:type="dxa"/>
            <w:vAlign w:val="bottom"/>
            <w:gridSpan w:val="2"/>
          </w:tcPr>
          <w:p>
            <w:pPr>
              <w:jc w:val="center"/>
              <w:ind w:right="72"/>
              <w:spacing w:after="0"/>
              <w:rPr>
                <w:sz w:val="20"/>
                <w:szCs w:val="20"/>
                <w:color w:val="auto"/>
              </w:rPr>
            </w:pPr>
            <w:r>
              <w:rPr>
                <w:rFonts w:ascii="Arial" w:cs="Arial" w:eastAsia="Arial" w:hAnsi="Arial"/>
                <w:sz w:val="18"/>
                <w:szCs w:val="18"/>
                <w:b w:val="1"/>
                <w:bCs w:val="1"/>
                <w:color w:val="auto"/>
                <w:w w:val="87"/>
              </w:rPr>
              <w:t>Investments</w:t>
            </w:r>
          </w:p>
        </w:tc>
        <w:tc>
          <w:tcPr>
            <w:tcW w:w="0" w:type="dxa"/>
            <w:vAlign w:val="bottom"/>
          </w:tcPr>
          <w:p>
            <w:pPr>
              <w:spacing w:after="0"/>
              <w:rPr>
                <w:sz w:val="1"/>
                <w:szCs w:val="1"/>
                <w:color w:val="auto"/>
              </w:rPr>
            </w:pPr>
          </w:p>
        </w:tc>
      </w:tr>
      <w:tr>
        <w:trPr>
          <w:trHeight w:val="206"/>
        </w:trPr>
        <w:tc>
          <w:tcPr>
            <w:tcW w:w="26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Borders>
              <w:top w:val="single" w:sz="8" w:color="auto"/>
            </w:tcBorders>
            <w:gridSpan w:val="3"/>
          </w:tcPr>
          <w:p>
            <w:pPr>
              <w:jc w:val="right"/>
              <w:ind w:right="452"/>
              <w:spacing w:after="0"/>
              <w:rPr>
                <w:sz w:val="20"/>
                <w:szCs w:val="20"/>
                <w:color w:val="auto"/>
              </w:rPr>
            </w:pPr>
            <w:r>
              <w:rPr>
                <w:rFonts w:ascii="Arial" w:cs="Arial" w:eastAsia="Arial" w:hAnsi="Arial"/>
                <w:sz w:val="18"/>
                <w:szCs w:val="18"/>
                <w:b w:val="1"/>
                <w:bCs w:val="1"/>
                <w:color w:val="auto"/>
              </w:rPr>
              <w:t>(Dollars in thousands)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Credit Rating</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tcPr>
          <w:p>
            <w:pPr>
              <w:jc w:val="right"/>
              <w:ind w:right="2232"/>
              <w:spacing w:after="0"/>
              <w:rPr>
                <w:sz w:val="20"/>
                <w:szCs w:val="20"/>
                <w:color w:val="auto"/>
              </w:rPr>
            </w:pPr>
            <w:r>
              <w:rPr>
                <w:rFonts w:ascii="Arial" w:cs="Arial" w:eastAsia="Arial" w:hAnsi="Arial"/>
                <w:sz w:val="18"/>
                <w:szCs w:val="18"/>
                <w:color w:val="auto"/>
              </w:rPr>
              <w:t>4</w:t>
            </w:r>
          </w:p>
        </w:tc>
        <w:tc>
          <w:tcPr>
            <w:tcW w:w="1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41,677</w:t>
            </w:r>
          </w:p>
        </w:tc>
        <w:tc>
          <w:tcPr>
            <w:tcW w:w="1520" w:type="dxa"/>
            <w:vAlign w:val="bottom"/>
            <w:gridSpan w:val="2"/>
          </w:tcPr>
          <w:p>
            <w:pPr>
              <w:jc w:val="right"/>
              <w:ind w:right="32"/>
              <w:spacing w:after="0"/>
              <w:rPr>
                <w:sz w:val="20"/>
                <w:szCs w:val="20"/>
                <w:color w:val="auto"/>
              </w:rPr>
            </w:pPr>
            <w:r>
              <w:rPr>
                <w:rFonts w:ascii="Arial" w:cs="Arial" w:eastAsia="Arial" w:hAnsi="Arial"/>
                <w:sz w:val="18"/>
                <w:szCs w:val="18"/>
                <w:color w:val="auto"/>
              </w:rPr>
              <w:t>19.3%</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18,701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2"/>
        </w:trPr>
        <w:tc>
          <w:tcPr>
            <w:tcW w:w="2640" w:type="dxa"/>
            <w:vAlign w:val="bottom"/>
            <w:shd w:val="clear" w:color="auto" w:fill="CCEEFF"/>
          </w:tcPr>
          <w:p>
            <w:pPr>
              <w:jc w:val="right"/>
              <w:ind w:right="2232"/>
              <w:spacing w:after="0"/>
              <w:rPr>
                <w:sz w:val="20"/>
                <w:szCs w:val="20"/>
                <w:color w:val="auto"/>
              </w:rPr>
            </w:pPr>
            <w:r>
              <w:rPr>
                <w:rFonts w:ascii="Arial" w:cs="Arial" w:eastAsia="Arial" w:hAnsi="Arial"/>
                <w:sz w:val="18"/>
                <w:szCs w:val="18"/>
                <w:color w:val="auto"/>
              </w:rPr>
              <w:t>3</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155,439</w:t>
            </w:r>
          </w:p>
        </w:tc>
        <w:tc>
          <w:tcPr>
            <w:tcW w:w="15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71.8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176,560</w:t>
            </w:r>
          </w:p>
        </w:tc>
        <w:tc>
          <w:tcPr>
            <w:tcW w:w="1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2"/>
        </w:trPr>
        <w:tc>
          <w:tcPr>
            <w:tcW w:w="2640" w:type="dxa"/>
            <w:vAlign w:val="bottom"/>
          </w:tcPr>
          <w:p>
            <w:pPr>
              <w:jc w:val="right"/>
              <w:ind w:right="2232"/>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19,285</w:t>
            </w:r>
          </w:p>
        </w:tc>
        <w:tc>
          <w:tcPr>
            <w:tcW w:w="1520" w:type="dxa"/>
            <w:vAlign w:val="bottom"/>
            <w:gridSpan w:val="2"/>
          </w:tcPr>
          <w:p>
            <w:pPr>
              <w:jc w:val="right"/>
              <w:ind w:right="172"/>
              <w:spacing w:after="0"/>
              <w:rPr>
                <w:sz w:val="20"/>
                <w:szCs w:val="20"/>
                <w:color w:val="auto"/>
              </w:rPr>
            </w:pPr>
            <w:r>
              <w:rPr>
                <w:rFonts w:ascii="Arial" w:cs="Arial" w:eastAsia="Arial" w:hAnsi="Arial"/>
                <w:sz w:val="18"/>
                <w:szCs w:val="18"/>
                <w:color w:val="auto"/>
              </w:rPr>
              <w:t>8.9</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5,632</w:t>
            </w: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40" w:type="dxa"/>
            <w:vAlign w:val="bottom"/>
            <w:shd w:val="clear" w:color="auto" w:fill="CCEEFF"/>
          </w:tcPr>
          <w:p>
            <w:pPr>
              <w:jc w:val="right"/>
              <w:ind w:right="2232"/>
              <w:spacing w:after="0"/>
              <w:rPr>
                <w:sz w:val="20"/>
                <w:szCs w:val="20"/>
                <w:color w:val="auto"/>
              </w:rPr>
            </w:pPr>
            <w:r>
              <w:rPr>
                <w:rFonts w:ascii="Arial" w:cs="Arial" w:eastAsia="Arial" w:hAnsi="Arial"/>
                <w:sz w:val="18"/>
                <w:szCs w:val="18"/>
                <w:color w:val="auto"/>
              </w:rPr>
              <w:t>1</w:t>
            </w: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32"/>
              <w:spacing w:after="0"/>
              <w:rPr>
                <w:sz w:val="20"/>
                <w:szCs w:val="20"/>
                <w:color w:val="auto"/>
              </w:rPr>
            </w:pPr>
            <w:r>
              <w:rPr>
                <w:rFonts w:ascii="Arial" w:cs="Arial" w:eastAsia="Arial" w:hAnsi="Arial"/>
                <w:sz w:val="18"/>
                <w:szCs w:val="18"/>
                <w:color w:val="auto"/>
                <w:w w:val="74"/>
              </w:rPr>
              <w:t>%</w:t>
            </w: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8"/>
        </w:trPr>
        <w:tc>
          <w:tcPr>
            <w:tcW w:w="264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216,401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203,793</w:t>
            </w: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As of December 31, 2018, there were no debt investments with an internal credit rating of 1. As of December 31, 2017, there was one debt investment with an internal credit rating of 1, with a cost of $3.0 million and a fair value of $2.9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Horizon Secured Loan Fund I LLC</w:t>
      </w:r>
    </w:p>
    <w:p>
      <w:pPr>
        <w:spacing w:after="0" w:line="223"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On June, 1 2018, we and Arena formed a joint venture, or HSLFI, to make investments, either directly or indirectly through subsidiaries, primarily in the form of secured loans to development-stage companies in the technology, life science, healthcare information and services and cleantech industries. HSLFI was formed as a Delaware limited liability company and is not consolidated by either us or Arena for financial reporting purposes. Investments held by HSLFI are measured at fair value. As of December 31, 2018, HSLFI had total assets of $26.4 million. HSLFI’s portfolio consisted of debt investments in four portfolio companies as of December 31, 2018. As of December 31, 2018, the largest investment in a single portfolio company in the HSLFI’s portfolio in aggregate principal amount was $8.3 million and the four largest investments in portfolio companies in HSLFI’s portfolio totaled $25.0 million. As of December 31, 2018, HSLFI had no investments on non-accrual status. HSLFI invests in portfolio companies in the same industries in which we may directly invest.</w:t>
      </w:r>
    </w:p>
    <w:p>
      <w:pPr>
        <w:spacing w:after="0" w:line="15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invest cash or securities in portfolio companies in HSLFI in exchange for limited liability company equity interests in HSLFI. As of December 31, 2018, we and Arena each owned 50.0% of the equity interests of HSLFI. We had an original commitment to fund $25.0 million of equity interests in HSLFI. As of December 31, 2018, $11.7 million was unfunded. Our investment in HSLFI consisted of an equity contribution of $13.3 million as of December 31, 2018.</w:t>
      </w:r>
    </w:p>
    <w:p>
      <w:pPr>
        <w:spacing w:after="0" w:line="137"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We and Arena each appointed two members to HSLFI’s four-person board of managers. All material decisions with respect to HSLFI, including those involving its investment portfolio, require unanimous approval of a quorum of the board of managers. Quorum is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Horizon Funding I, LLC, or HFI, was formed as a Delaware limited liability company on May 9, 2018, with HSLFI as its sole member. HFI is a special purpose bankruptcy-remote entity and is a separate legal entity from HSLFI. Any assets conveyed to HFI are not available to creditors of HSLFI or any other entity other than HFI’s lenders.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64" w:name="page65"/>
    <w:bookmarkEnd w:id="64"/>
    <w:p>
      <w:pPr>
        <w:jc w:val="both"/>
        <w:ind w:firstLine="318"/>
        <w:spacing w:after="0" w:line="264" w:lineRule="auto"/>
        <w:rPr>
          <w:sz w:val="20"/>
          <w:szCs w:val="20"/>
          <w:color w:val="auto"/>
        </w:rPr>
      </w:pPr>
      <w:r>
        <w:rPr>
          <w:rFonts w:ascii="Arial" w:cs="Arial" w:eastAsia="Arial" w:hAnsi="Arial"/>
          <w:sz w:val="17"/>
          <w:szCs w:val="17"/>
          <w:color w:val="auto"/>
        </w:rPr>
        <w:t>In addition, on June 1, 2018, HSLFI entered into a sale and servicing agreement with HFI, as Issuer, and us, as Servicer, pursuant to which HSLFI will sell or contribute to HFI certain secured loans made to certain portfolio companies. HFI entered into a Note Funding Agreement, or the NYL Facility, with several entities owned or affiliated with New York Life Insurance Company, or the Noteholders, for an aggregate purchase price of up to $100.0 million, with an accordion feature of up to $200.0 million at the mutual discretion and agreement of HSLFI and the Noteholders. The Note Funding Agreement has an investment period that ends on June 1, 2020, if not extended, followed by a five year amortization period and a scheduled final payment date of June 10, 2025, subject to any extension of the investment period. Any notes issued by HFI will be collateralized by all investments held by HFI and permit an advance rate of up to 67% of the aggregate principal amount of eligible debt investments. The interest rate on the notes issued under the NYL Facility is based on the three year USD mid-market swap rate plus a margin of between 2.75% and 3.25% depending on the rating of such notes at the time of issuance. There were no advances made by the Noteholders as of December 31,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00" w:type="dxa"/>
            <w:vAlign w:val="bottom"/>
          </w:tcPr>
          <w:p>
            <w:pPr>
              <w:ind w:left="320"/>
              <w:spacing w:after="0"/>
              <w:rPr>
                <w:sz w:val="20"/>
                <w:szCs w:val="20"/>
                <w:color w:val="auto"/>
              </w:rPr>
            </w:pPr>
            <w:r>
              <w:rPr>
                <w:rFonts w:ascii="Arial" w:cs="Arial" w:eastAsia="Arial" w:hAnsi="Arial"/>
                <w:sz w:val="18"/>
                <w:szCs w:val="18"/>
                <w:color w:val="auto"/>
              </w:rPr>
              <w:t>The following table shows a summary of HSLFI’s investment portfolio:</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07"/>
        </w:trPr>
        <w:tc>
          <w:tcPr>
            <w:tcW w:w="7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For the period</w:t>
            </w:r>
          </w:p>
        </w:tc>
      </w:tr>
      <w:tr>
        <w:trPr>
          <w:trHeight w:val="212"/>
        </w:trPr>
        <w:tc>
          <w:tcPr>
            <w:tcW w:w="75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June 1, 2018</w:t>
            </w:r>
          </w:p>
        </w:tc>
      </w:tr>
      <w:tr>
        <w:trPr>
          <w:trHeight w:val="212"/>
        </w:trPr>
        <w:tc>
          <w:tcPr>
            <w:tcW w:w="75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through</w:t>
            </w:r>
          </w:p>
        </w:tc>
      </w:tr>
      <w:tr>
        <w:trPr>
          <w:trHeight w:val="229"/>
        </w:trPr>
        <w:tc>
          <w:tcPr>
            <w:tcW w:w="75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December 31, 2018</w:t>
            </w:r>
          </w:p>
        </w:tc>
      </w:tr>
      <w:tr>
        <w:trPr>
          <w:trHeight w:val="206"/>
        </w:trPr>
        <w:tc>
          <w:tcPr>
            <w:tcW w:w="75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(Dollars in thousands)</w:t>
            </w:r>
          </w:p>
        </w:tc>
        <w:tc>
          <w:tcPr>
            <w:tcW w:w="160" w:type="dxa"/>
            <w:vAlign w:val="bottom"/>
          </w:tcPr>
          <w:p>
            <w:pPr>
              <w:spacing w:after="0"/>
              <w:rPr>
                <w:sz w:val="17"/>
                <w:szCs w:val="17"/>
                <w:color w:val="auto"/>
              </w:rPr>
            </w:pPr>
          </w:p>
        </w:tc>
      </w:tr>
      <w:tr>
        <w:trPr>
          <w:trHeight w:val="212"/>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20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24,734</w:t>
            </w:r>
          </w:p>
        </w:tc>
      </w:tr>
      <w:tr>
        <w:trPr>
          <w:trHeight w:val="252"/>
        </w:trPr>
        <w:tc>
          <w:tcPr>
            <w:tcW w:w="7500" w:type="dxa"/>
            <w:vAlign w:val="bottom"/>
          </w:tcPr>
          <w:p>
            <w:pPr>
              <w:spacing w:after="0" w:line="252" w:lineRule="exact"/>
              <w:rPr>
                <w:sz w:val="20"/>
                <w:szCs w:val="20"/>
                <w:color w:val="auto"/>
              </w:rPr>
            </w:pPr>
            <w:r>
              <w:rPr>
                <w:rFonts w:ascii="Arial" w:cs="Arial" w:eastAsia="Arial" w:hAnsi="Arial"/>
                <w:sz w:val="18"/>
                <w:szCs w:val="18"/>
                <w:color w:val="auto"/>
              </w:rPr>
              <w:t>Dollar-weighted annualized yield on average debt investments</w:t>
            </w:r>
            <w:r>
              <w:rPr>
                <w:rFonts w:ascii="Arial" w:cs="Arial" w:eastAsia="Arial" w:hAnsi="Arial"/>
                <w:sz w:val="29"/>
                <w:szCs w:val="29"/>
                <w:color w:val="auto"/>
                <w:vertAlign w:val="superscript"/>
              </w:rPr>
              <w:t>(1)</w:t>
            </w:r>
          </w:p>
        </w:tc>
        <w:tc>
          <w:tcPr>
            <w:tcW w:w="2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12"/>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HSLFI</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r>
      <w:tr>
        <w:trPr>
          <w:trHeight w:val="212"/>
        </w:trPr>
        <w:tc>
          <w:tcPr>
            <w:tcW w:w="7500" w:type="dxa"/>
            <w:vAlign w:val="bottom"/>
          </w:tcPr>
          <w:p>
            <w:pPr>
              <w:spacing w:after="0"/>
              <w:rPr>
                <w:sz w:val="20"/>
                <w:szCs w:val="20"/>
                <w:color w:val="auto"/>
              </w:rPr>
            </w:pPr>
            <w:r>
              <w:rPr>
                <w:rFonts w:ascii="Arial" w:cs="Arial" w:eastAsia="Arial" w:hAnsi="Arial"/>
                <w:sz w:val="18"/>
                <w:szCs w:val="18"/>
                <w:color w:val="auto"/>
              </w:rPr>
              <w:t>Largest portfolio company investment at fair value</w:t>
            </w:r>
          </w:p>
        </w:tc>
        <w:tc>
          <w:tcPr>
            <w:tcW w:w="2200" w:type="dxa"/>
            <w:vAlign w:val="bottom"/>
            <w:gridSpan w:val="2"/>
          </w:tcPr>
          <w:p>
            <w:pPr>
              <w:ind w:left="210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8,154</w:t>
            </w:r>
          </w:p>
        </w:tc>
        <w:tc>
          <w:tcPr>
            <w:tcW w:w="160" w:type="dxa"/>
            <w:vAlign w:val="bottom"/>
          </w:tcPr>
          <w:p>
            <w:pPr>
              <w:spacing w:after="0"/>
              <w:rPr>
                <w:sz w:val="18"/>
                <w:szCs w:val="18"/>
                <w:color w:val="auto"/>
              </w:rPr>
            </w:pPr>
          </w:p>
        </w:tc>
      </w:tr>
      <w:tr>
        <w:trPr>
          <w:trHeight w:val="212"/>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of four largest portfolio company investments at fair value</w:t>
            </w:r>
          </w:p>
        </w:tc>
        <w:tc>
          <w:tcPr>
            <w:tcW w:w="220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168275</wp:posOffset>
            </wp:positionV>
            <wp:extent cx="10858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85850" cy="8255"/>
                    </a:xfrm>
                    <a:prstGeom prst="rect">
                      <a:avLst/>
                    </a:prstGeom>
                    <a:noFill/>
                  </pic:spPr>
                </pic:pic>
              </a:graphicData>
            </a:graphic>
          </wp:anchor>
        </w:drawing>
      </w:r>
    </w:p>
    <w:p>
      <w:pPr>
        <w:spacing w:after="0" w:line="312" w:lineRule="exact"/>
        <w:rPr>
          <w:sz w:val="20"/>
          <w:szCs w:val="20"/>
          <w:color w:val="auto"/>
        </w:rPr>
      </w:pPr>
    </w:p>
    <w:p>
      <w:pPr>
        <w:jc w:val="both"/>
        <w:ind w:left="320" w:hanging="314"/>
        <w:spacing w:after="0" w:line="252"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HSLFI calculates the yield on dollar-weighted average debt investments for any period measured as (1) total investment income during the period divided by (2) the average of the fair value of debt investments outstanding on (a) the last day of the calendar month immediately preceding the first day of the period and (b) the last day of each calendar month during the period. The yield on dollar-weighted average debt investments represents the portfolio yield and does not reflect HSLFI’s expenses.</w:t>
      </w:r>
    </w:p>
    <w:p>
      <w:pPr>
        <w:spacing w:after="0" w:line="191"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The following table shows HSLFI’s individual investments as of December 31,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389"/>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Cost of</w:t>
            </w:r>
          </w:p>
        </w:tc>
        <w:tc>
          <w:tcPr>
            <w:tcW w:w="2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r>
      <w:tr>
        <w:trPr>
          <w:trHeight w:val="196"/>
        </w:trPr>
        <w:tc>
          <w:tcPr>
            <w:tcW w:w="3660" w:type="dxa"/>
            <w:vAlign w:val="bottom"/>
            <w:tcBorders>
              <w:bottom w:val="single" w:sz="8" w:color="auto"/>
            </w:tcBorders>
          </w:tcPr>
          <w:p>
            <w:pPr>
              <w:spacing w:after="0" w:line="197"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2"/>
                <w:szCs w:val="22"/>
                <w:b w:val="1"/>
                <w:bCs w:val="1"/>
                <w:color w:val="auto"/>
                <w:vertAlign w:val="superscript"/>
              </w:rPr>
              <w:t>(1)</w:t>
            </w:r>
          </w:p>
        </w:tc>
        <w:tc>
          <w:tcPr>
            <w:tcW w:w="13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Sector</w:t>
            </w:r>
          </w:p>
        </w:tc>
        <w:tc>
          <w:tcPr>
            <w:tcW w:w="2780" w:type="dxa"/>
            <w:vAlign w:val="bottom"/>
            <w:tcBorders>
              <w:bottom w:val="single" w:sz="8" w:color="auto"/>
            </w:tcBorders>
          </w:tcPr>
          <w:p>
            <w:pPr>
              <w:ind w:left="740"/>
              <w:spacing w:after="0" w:line="197" w:lineRule="exact"/>
              <w:rPr>
                <w:sz w:val="20"/>
                <w:szCs w:val="20"/>
                <w:color w:val="auto"/>
              </w:rPr>
            </w:pPr>
            <w:r>
              <w:rPr>
                <w:rFonts w:ascii="Arial" w:cs="Arial" w:eastAsia="Arial" w:hAnsi="Arial"/>
                <w:sz w:val="14"/>
                <w:szCs w:val="14"/>
                <w:b w:val="1"/>
                <w:bCs w:val="1"/>
                <w:color w:val="auto"/>
              </w:rPr>
              <w:t xml:space="preserve">Type of Investment </w:t>
            </w:r>
            <w:r>
              <w:rPr>
                <w:rFonts w:ascii="Arial" w:cs="Arial" w:eastAsia="Arial" w:hAnsi="Arial"/>
                <w:sz w:val="22"/>
                <w:szCs w:val="22"/>
                <w:b w:val="1"/>
                <w:bCs w:val="1"/>
                <w:color w:val="auto"/>
                <w:vertAlign w:val="superscript"/>
              </w:rPr>
              <w:t>(2)(3)(4)</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80"/>
              <w:spacing w:after="0" w:line="197" w:lineRule="exact"/>
              <w:rPr>
                <w:sz w:val="20"/>
                <w:szCs w:val="20"/>
                <w:color w:val="auto"/>
              </w:rPr>
            </w:pPr>
            <w:r>
              <w:rPr>
                <w:rFonts w:ascii="Arial" w:cs="Arial" w:eastAsia="Arial" w:hAnsi="Arial"/>
                <w:sz w:val="14"/>
                <w:szCs w:val="14"/>
                <w:b w:val="1"/>
                <w:bCs w:val="1"/>
                <w:color w:val="auto"/>
                <w:w w:val="86"/>
              </w:rPr>
              <w:t>Investments</w:t>
            </w:r>
            <w:r>
              <w:rPr>
                <w:rFonts w:ascii="Arial" w:cs="Arial" w:eastAsia="Arial" w:hAnsi="Arial"/>
                <w:sz w:val="22"/>
                <w:szCs w:val="22"/>
                <w:b w:val="1"/>
                <w:bCs w:val="1"/>
                <w:color w:val="auto"/>
                <w:w w:val="86"/>
                <w:vertAlign w:val="superscript"/>
              </w:rPr>
              <w:t>(5)</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r>
      <w:tr>
        <w:trPr>
          <w:trHeight w:val="139"/>
        </w:trPr>
        <w:tc>
          <w:tcPr>
            <w:tcW w:w="3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7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3660" w:type="dxa"/>
            <w:vAlign w:val="bottom"/>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Debt Investments — Life science</w:t>
            </w:r>
          </w:p>
        </w:tc>
        <w:tc>
          <w:tcPr>
            <w:tcW w:w="130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27"/>
        </w:trPr>
        <w:tc>
          <w:tcPr>
            <w:tcW w:w="3660" w:type="dxa"/>
            <w:vAlign w:val="bottom"/>
          </w:tcPr>
          <w:p>
            <w:pPr>
              <w:spacing w:after="0" w:line="127" w:lineRule="exact"/>
              <w:rPr>
                <w:sz w:val="20"/>
                <w:szCs w:val="20"/>
                <w:color w:val="auto"/>
              </w:rPr>
            </w:pPr>
            <w:r>
              <w:rPr>
                <w:rFonts w:ascii="Arial" w:cs="Arial" w:eastAsia="Arial" w:hAnsi="Arial"/>
                <w:sz w:val="14"/>
                <w:szCs w:val="14"/>
                <w:color w:val="auto"/>
              </w:rPr>
              <w:t>Celsion Corporation (6)(7)(8)</w:t>
            </w:r>
          </w:p>
        </w:tc>
        <w:tc>
          <w:tcPr>
            <w:tcW w:w="1300" w:type="dxa"/>
            <w:vAlign w:val="bottom"/>
          </w:tcPr>
          <w:p>
            <w:pPr>
              <w:ind w:left="240"/>
              <w:spacing w:after="0" w:line="127" w:lineRule="exact"/>
              <w:rPr>
                <w:sz w:val="20"/>
                <w:szCs w:val="20"/>
                <w:color w:val="auto"/>
              </w:rPr>
            </w:pPr>
            <w:r>
              <w:rPr>
                <w:rFonts w:ascii="Arial" w:cs="Arial" w:eastAsia="Arial" w:hAnsi="Arial"/>
                <w:sz w:val="14"/>
                <w:szCs w:val="14"/>
                <w:color w:val="auto"/>
              </w:rPr>
              <w:t>Biotechnology</w:t>
            </w:r>
          </w:p>
        </w:tc>
        <w:tc>
          <w:tcPr>
            <w:tcW w:w="2780" w:type="dxa"/>
            <w:vAlign w:val="bottom"/>
          </w:tcPr>
          <w:p>
            <w:pPr>
              <w:ind w:left="340"/>
              <w:spacing w:after="0" w:line="127" w:lineRule="exact"/>
              <w:rPr>
                <w:sz w:val="20"/>
                <w:szCs w:val="20"/>
                <w:color w:val="auto"/>
              </w:rPr>
            </w:pPr>
            <w:r>
              <w:rPr>
                <w:rFonts w:ascii="Arial" w:cs="Arial" w:eastAsia="Arial" w:hAnsi="Arial"/>
                <w:sz w:val="14"/>
                <w:szCs w:val="14"/>
                <w:color w:val="auto"/>
                <w:w w:val="97"/>
              </w:rPr>
              <w:t>Term Loan (9.98% cash (Libor + 7.63%;</w:t>
            </w: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6"/>
        </w:trPr>
        <w:tc>
          <w:tcPr>
            <w:tcW w:w="3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780" w:type="dxa"/>
            <w:vAlign w:val="bottom"/>
          </w:tcPr>
          <w:p>
            <w:pPr>
              <w:ind w:left="340"/>
              <w:spacing w:after="0" w:line="146" w:lineRule="exact"/>
              <w:rPr>
                <w:sz w:val="20"/>
                <w:szCs w:val="20"/>
                <w:color w:val="auto"/>
              </w:rPr>
            </w:pPr>
            <w:r>
              <w:rPr>
                <w:rFonts w:ascii="Arial" w:cs="Arial" w:eastAsia="Arial" w:hAnsi="Arial"/>
                <w:sz w:val="14"/>
                <w:szCs w:val="14"/>
                <w:color w:val="auto"/>
              </w:rPr>
              <w:t>Floor 9.63%), 4.00% ETP, Due 7/1/22)</w:t>
            </w:r>
          </w:p>
        </w:tc>
        <w:tc>
          <w:tcPr>
            <w:tcW w:w="240" w:type="dxa"/>
            <w:vAlign w:val="bottom"/>
          </w:tcPr>
          <w:p>
            <w:pPr>
              <w:jc w:val="right"/>
              <w:ind w:right="29"/>
              <w:spacing w:after="0" w:line="146"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69"/>
              <w:spacing w:after="0" w:line="146" w:lineRule="exact"/>
              <w:rPr>
                <w:sz w:val="20"/>
                <w:szCs w:val="20"/>
                <w:color w:val="auto"/>
              </w:rPr>
            </w:pPr>
            <w:r>
              <w:rPr>
                <w:rFonts w:ascii="Arial" w:cs="Arial" w:eastAsia="Arial" w:hAnsi="Arial"/>
                <w:sz w:val="14"/>
                <w:szCs w:val="14"/>
                <w:color w:val="auto"/>
              </w:rPr>
              <w:t>2,500</w:t>
            </w:r>
          </w:p>
        </w:tc>
        <w:tc>
          <w:tcPr>
            <w:tcW w:w="80" w:type="dxa"/>
            <w:vAlign w:val="bottom"/>
          </w:tcPr>
          <w:p>
            <w:pPr>
              <w:jc w:val="right"/>
              <w:spacing w:after="0" w:line="146"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00"/>
              <w:spacing w:after="0" w:line="146" w:lineRule="exact"/>
              <w:rPr>
                <w:sz w:val="20"/>
                <w:szCs w:val="20"/>
                <w:color w:val="auto"/>
              </w:rPr>
            </w:pPr>
            <w:r>
              <w:rPr>
                <w:rFonts w:ascii="Arial" w:cs="Arial" w:eastAsia="Arial" w:hAnsi="Arial"/>
                <w:sz w:val="14"/>
                <w:szCs w:val="14"/>
                <w:color w:val="auto"/>
              </w:rPr>
              <w:t>2,449</w:t>
            </w:r>
          </w:p>
        </w:tc>
        <w:tc>
          <w:tcPr>
            <w:tcW w:w="220" w:type="dxa"/>
            <w:vAlign w:val="bottom"/>
          </w:tcPr>
          <w:p>
            <w:pPr>
              <w:jc w:val="right"/>
              <w:ind w:right="69"/>
              <w:spacing w:after="0" w:line="146"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2,449</w:t>
            </w:r>
          </w:p>
        </w:tc>
      </w:tr>
      <w:tr>
        <w:trPr>
          <w:trHeight w:val="146"/>
        </w:trPr>
        <w:tc>
          <w:tcPr>
            <w:tcW w:w="3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780" w:type="dxa"/>
            <w:vAlign w:val="bottom"/>
          </w:tcPr>
          <w:p>
            <w:pPr>
              <w:ind w:left="340"/>
              <w:spacing w:after="0" w:line="146" w:lineRule="exact"/>
              <w:rPr>
                <w:sz w:val="20"/>
                <w:szCs w:val="20"/>
                <w:color w:val="auto"/>
              </w:rPr>
            </w:pPr>
            <w:r>
              <w:rPr>
                <w:rFonts w:ascii="Arial" w:cs="Arial" w:eastAsia="Arial" w:hAnsi="Arial"/>
                <w:sz w:val="14"/>
                <w:szCs w:val="14"/>
                <w:color w:val="auto"/>
                <w:w w:val="97"/>
              </w:rPr>
              <w:t>Term Loan (9.98% cash (Libor + 7.63%;</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3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780" w:type="dxa"/>
            <w:vAlign w:val="bottom"/>
          </w:tcPr>
          <w:p>
            <w:pPr>
              <w:ind w:left="340"/>
              <w:spacing w:after="0"/>
              <w:rPr>
                <w:sz w:val="20"/>
                <w:szCs w:val="20"/>
                <w:color w:val="auto"/>
              </w:rPr>
            </w:pPr>
            <w:r>
              <w:rPr>
                <w:rFonts w:ascii="Arial" w:cs="Arial" w:eastAsia="Arial" w:hAnsi="Arial"/>
                <w:sz w:val="14"/>
                <w:szCs w:val="14"/>
                <w:color w:val="auto"/>
              </w:rPr>
              <w:t>Floor 9.63%), 4.00% ETP, Due 7/1/22)</w:t>
            </w:r>
          </w:p>
        </w:tc>
        <w:tc>
          <w:tcPr>
            <w:tcW w:w="240" w:type="dxa"/>
            <w:vAlign w:val="bottom"/>
          </w:tcPr>
          <w:p>
            <w:pPr>
              <w:spacing w:after="0"/>
              <w:rPr>
                <w:sz w:val="15"/>
                <w:szCs w:val="15"/>
                <w:color w:val="auto"/>
              </w:rPr>
            </w:pPr>
          </w:p>
        </w:tc>
        <w:tc>
          <w:tcPr>
            <w:tcW w:w="1100" w:type="dxa"/>
            <w:vAlign w:val="bottom"/>
          </w:tcPr>
          <w:p>
            <w:pPr>
              <w:jc w:val="right"/>
              <w:ind w:right="169"/>
              <w:spacing w:after="0"/>
              <w:rPr>
                <w:sz w:val="20"/>
                <w:szCs w:val="20"/>
                <w:color w:val="auto"/>
              </w:rPr>
            </w:pPr>
            <w:r>
              <w:rPr>
                <w:rFonts w:ascii="Arial" w:cs="Arial" w:eastAsia="Arial" w:hAnsi="Arial"/>
                <w:sz w:val="14"/>
                <w:szCs w:val="14"/>
                <w:color w:val="auto"/>
              </w:rPr>
              <w:t>2,500</w:t>
            </w:r>
          </w:p>
        </w:tc>
        <w:tc>
          <w:tcPr>
            <w:tcW w:w="8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2,449</w:t>
            </w:r>
          </w:p>
        </w:tc>
        <w:tc>
          <w:tcPr>
            <w:tcW w:w="2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2,449</w:t>
            </w:r>
          </w:p>
        </w:tc>
      </w:tr>
      <w:tr>
        <w:trPr>
          <w:trHeight w:val="139"/>
        </w:trPr>
        <w:tc>
          <w:tcPr>
            <w:tcW w:w="366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Total Debt Investments — Life science</w:t>
            </w:r>
          </w:p>
        </w:tc>
        <w:tc>
          <w:tcPr>
            <w:tcW w:w="1300" w:type="dxa"/>
            <w:vAlign w:val="bottom"/>
            <w:tcBorders>
              <w:top w:val="single" w:sz="8" w:color="CCEEFF"/>
            </w:tcBorders>
            <w:shd w:val="clear" w:color="auto" w:fill="CCEEFF"/>
          </w:tcPr>
          <w:p>
            <w:pPr>
              <w:spacing w:after="0"/>
              <w:rPr>
                <w:sz w:val="12"/>
                <w:szCs w:val="12"/>
                <w:color w:val="auto"/>
              </w:rPr>
            </w:pPr>
          </w:p>
        </w:tc>
        <w:tc>
          <w:tcPr>
            <w:tcW w:w="27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4,898</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4,898</w:t>
            </w:r>
          </w:p>
        </w:tc>
        <w:tc>
          <w:tcPr>
            <w:tcW w:w="100" w:type="dxa"/>
            <w:vAlign w:val="bottom"/>
            <w:tcBorders>
              <w:top w:val="single" w:sz="8" w:color="CCEEFF"/>
            </w:tcBorders>
            <w:shd w:val="clear" w:color="auto" w:fill="CCEEFF"/>
          </w:tcPr>
          <w:p>
            <w:pPr>
              <w:spacing w:after="0"/>
              <w:rPr>
                <w:sz w:val="12"/>
                <w:szCs w:val="12"/>
                <w:color w:val="auto"/>
              </w:rPr>
            </w:pPr>
          </w:p>
        </w:tc>
      </w:tr>
      <w:tr>
        <w:trPr>
          <w:trHeight w:val="139"/>
        </w:trPr>
        <w:tc>
          <w:tcPr>
            <w:tcW w:w="3660" w:type="dxa"/>
            <w:vAlign w:val="bottom"/>
          </w:tcPr>
          <w:p>
            <w:pPr>
              <w:spacing w:after="0" w:line="139" w:lineRule="exact"/>
              <w:rPr>
                <w:sz w:val="20"/>
                <w:szCs w:val="20"/>
                <w:color w:val="auto"/>
              </w:rPr>
            </w:pPr>
            <w:r>
              <w:rPr>
                <w:rFonts w:ascii="Arial" w:cs="Arial" w:eastAsia="Arial" w:hAnsi="Arial"/>
                <w:sz w:val="14"/>
                <w:szCs w:val="14"/>
                <w:b w:val="1"/>
                <w:bCs w:val="1"/>
                <w:color w:val="auto"/>
              </w:rPr>
              <w:t>Debt Investments — Technology</w:t>
            </w:r>
          </w:p>
        </w:tc>
        <w:tc>
          <w:tcPr>
            <w:tcW w:w="1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36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Intelepeer Holdings, Inc. (6)(7)</w:t>
            </w:r>
          </w:p>
        </w:tc>
        <w:tc>
          <w:tcPr>
            <w:tcW w:w="1300" w:type="dxa"/>
            <w:vAlign w:val="bottom"/>
            <w:shd w:val="clear" w:color="auto" w:fill="CCEEFF"/>
          </w:tcPr>
          <w:p>
            <w:pPr>
              <w:ind w:left="240"/>
              <w:spacing w:after="0" w:line="127" w:lineRule="exact"/>
              <w:rPr>
                <w:sz w:val="20"/>
                <w:szCs w:val="20"/>
                <w:color w:val="auto"/>
              </w:rPr>
            </w:pPr>
            <w:r>
              <w:rPr>
                <w:rFonts w:ascii="Arial" w:cs="Arial" w:eastAsia="Arial" w:hAnsi="Arial"/>
                <w:sz w:val="14"/>
                <w:szCs w:val="14"/>
                <w:color w:val="auto"/>
                <w:w w:val="99"/>
              </w:rPr>
              <w:t>Communications</w:t>
            </w:r>
          </w:p>
        </w:tc>
        <w:tc>
          <w:tcPr>
            <w:tcW w:w="2780" w:type="dxa"/>
            <w:vAlign w:val="bottom"/>
            <w:shd w:val="clear" w:color="auto" w:fill="CCEEFF"/>
          </w:tcPr>
          <w:p>
            <w:pPr>
              <w:ind w:left="340"/>
              <w:spacing w:after="0" w:line="127" w:lineRule="exact"/>
              <w:rPr>
                <w:sz w:val="20"/>
                <w:szCs w:val="20"/>
                <w:color w:val="auto"/>
              </w:rPr>
            </w:pPr>
            <w:r>
              <w:rPr>
                <w:rFonts w:ascii="Arial" w:cs="Arial" w:eastAsia="Arial" w:hAnsi="Arial"/>
                <w:sz w:val="14"/>
                <w:szCs w:val="14"/>
                <w:color w:val="auto"/>
                <w:w w:val="94"/>
              </w:rPr>
              <w:t>Term Loan (12.30% cash (Libor + 9.95%;</w:t>
            </w: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6"/>
        </w:trPr>
        <w:tc>
          <w:tcPr>
            <w:tcW w:w="36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780" w:type="dxa"/>
            <w:vAlign w:val="bottom"/>
            <w:shd w:val="clear" w:color="auto" w:fill="CCEEFF"/>
          </w:tcPr>
          <w:p>
            <w:pPr>
              <w:ind w:left="340"/>
              <w:spacing w:after="0" w:line="146" w:lineRule="exact"/>
              <w:rPr>
                <w:sz w:val="20"/>
                <w:szCs w:val="20"/>
                <w:color w:val="auto"/>
              </w:rPr>
            </w:pPr>
            <w:r>
              <w:rPr>
                <w:rFonts w:ascii="Arial" w:cs="Arial" w:eastAsia="Arial" w:hAnsi="Arial"/>
                <w:sz w:val="14"/>
                <w:szCs w:val="14"/>
                <w:color w:val="auto"/>
                <w:w w:val="97"/>
              </w:rPr>
              <w:t>Floor 11.25%), 2.50% ETP, Due 7/1/21)</w:t>
            </w: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69"/>
              <w:spacing w:after="0" w:line="146"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3,948</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3,948</w:t>
            </w:r>
          </w:p>
        </w:tc>
      </w:tr>
      <w:tr>
        <w:trPr>
          <w:trHeight w:val="146"/>
        </w:trPr>
        <w:tc>
          <w:tcPr>
            <w:tcW w:w="36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780" w:type="dxa"/>
            <w:vAlign w:val="bottom"/>
            <w:shd w:val="clear" w:color="auto" w:fill="CCEEFF"/>
          </w:tcPr>
          <w:p>
            <w:pPr>
              <w:ind w:left="340"/>
              <w:spacing w:after="0" w:line="146" w:lineRule="exact"/>
              <w:rPr>
                <w:sz w:val="20"/>
                <w:szCs w:val="20"/>
                <w:color w:val="auto"/>
              </w:rPr>
            </w:pPr>
            <w:r>
              <w:rPr>
                <w:rFonts w:ascii="Arial" w:cs="Arial" w:eastAsia="Arial" w:hAnsi="Arial"/>
                <w:sz w:val="14"/>
                <w:szCs w:val="14"/>
                <w:color w:val="auto"/>
                <w:w w:val="94"/>
              </w:rPr>
              <w:t>Term Loan (12.30% cash (Libor + 9.95%;</w:t>
            </w: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4"/>
        </w:trPr>
        <w:tc>
          <w:tcPr>
            <w:tcW w:w="36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7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7"/>
              </w:rPr>
              <w:t>Floor 11.25%), 2.50% ETP, Due 7/1/21)</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3,948</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3,948</w:t>
            </w:r>
          </w:p>
        </w:tc>
      </w:tr>
      <w:tr>
        <w:trPr>
          <w:trHeight w:val="127"/>
        </w:trPr>
        <w:tc>
          <w:tcPr>
            <w:tcW w:w="3660" w:type="dxa"/>
            <w:vAlign w:val="bottom"/>
          </w:tcPr>
          <w:p>
            <w:pPr>
              <w:spacing w:after="0" w:line="127" w:lineRule="exact"/>
              <w:rPr>
                <w:sz w:val="20"/>
                <w:szCs w:val="20"/>
                <w:color w:val="auto"/>
              </w:rPr>
            </w:pPr>
            <w:r>
              <w:rPr>
                <w:rFonts w:ascii="Arial" w:cs="Arial" w:eastAsia="Arial" w:hAnsi="Arial"/>
                <w:sz w:val="14"/>
                <w:szCs w:val="14"/>
                <w:color w:val="auto"/>
              </w:rPr>
              <w:t>New Signature US, Inc. (6)(7)(9)</w:t>
            </w:r>
          </w:p>
        </w:tc>
        <w:tc>
          <w:tcPr>
            <w:tcW w:w="1300" w:type="dxa"/>
            <w:vAlign w:val="bottom"/>
          </w:tcPr>
          <w:p>
            <w:pPr>
              <w:ind w:left="240"/>
              <w:spacing w:after="0" w:line="127" w:lineRule="exact"/>
              <w:rPr>
                <w:sz w:val="20"/>
                <w:szCs w:val="20"/>
                <w:color w:val="auto"/>
              </w:rPr>
            </w:pPr>
            <w:r>
              <w:rPr>
                <w:rFonts w:ascii="Arial" w:cs="Arial" w:eastAsia="Arial" w:hAnsi="Arial"/>
                <w:sz w:val="14"/>
                <w:szCs w:val="14"/>
                <w:color w:val="auto"/>
              </w:rPr>
              <w:t>Software</w:t>
            </w:r>
          </w:p>
        </w:tc>
        <w:tc>
          <w:tcPr>
            <w:tcW w:w="2780" w:type="dxa"/>
            <w:vAlign w:val="bottom"/>
          </w:tcPr>
          <w:p>
            <w:pPr>
              <w:ind w:left="340"/>
              <w:spacing w:after="0" w:line="127" w:lineRule="exact"/>
              <w:rPr>
                <w:sz w:val="20"/>
                <w:szCs w:val="20"/>
                <w:color w:val="auto"/>
              </w:rPr>
            </w:pPr>
            <w:r>
              <w:rPr>
                <w:rFonts w:ascii="Arial" w:cs="Arial" w:eastAsia="Arial" w:hAnsi="Arial"/>
                <w:sz w:val="14"/>
                <w:szCs w:val="14"/>
                <w:color w:val="auto"/>
                <w:w w:val="94"/>
              </w:rPr>
              <w:t>Term Loan (10.85% cash (Libor + 8.50%;</w:t>
            </w: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8"/>
        </w:trPr>
        <w:tc>
          <w:tcPr>
            <w:tcW w:w="3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780" w:type="dxa"/>
            <w:vAlign w:val="bottom"/>
          </w:tcPr>
          <w:p>
            <w:pPr>
              <w:ind w:left="340"/>
              <w:spacing w:after="0"/>
              <w:rPr>
                <w:sz w:val="20"/>
                <w:szCs w:val="20"/>
                <w:color w:val="auto"/>
              </w:rPr>
            </w:pPr>
            <w:r>
              <w:rPr>
                <w:rFonts w:ascii="Arial" w:cs="Arial" w:eastAsia="Arial" w:hAnsi="Arial"/>
                <w:sz w:val="14"/>
                <w:szCs w:val="14"/>
                <w:color w:val="auto"/>
                <w:w w:val="97"/>
              </w:rPr>
              <w:t>Floor 10.50%), 3.50% ETP, Due 7/1/22)</w:t>
            </w:r>
          </w:p>
        </w:tc>
        <w:tc>
          <w:tcPr>
            <w:tcW w:w="240" w:type="dxa"/>
            <w:vAlign w:val="bottom"/>
          </w:tcPr>
          <w:p>
            <w:pPr>
              <w:spacing w:after="0"/>
              <w:rPr>
                <w:sz w:val="15"/>
                <w:szCs w:val="15"/>
                <w:color w:val="auto"/>
              </w:rPr>
            </w:pPr>
          </w:p>
        </w:tc>
        <w:tc>
          <w:tcPr>
            <w:tcW w:w="1100" w:type="dxa"/>
            <w:vAlign w:val="bottom"/>
          </w:tcPr>
          <w:p>
            <w:pPr>
              <w:jc w:val="right"/>
              <w:ind w:right="169"/>
              <w:spacing w:after="0"/>
              <w:rPr>
                <w:sz w:val="20"/>
                <w:szCs w:val="20"/>
                <w:color w:val="auto"/>
              </w:rPr>
            </w:pPr>
            <w:r>
              <w:rPr>
                <w:rFonts w:ascii="Arial" w:cs="Arial" w:eastAsia="Arial" w:hAnsi="Arial"/>
                <w:sz w:val="14"/>
                <w:szCs w:val="14"/>
                <w:color w:val="auto"/>
              </w:rPr>
              <w:t>8,250</w:t>
            </w:r>
          </w:p>
        </w:tc>
        <w:tc>
          <w:tcPr>
            <w:tcW w:w="8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8,098</w:t>
            </w:r>
          </w:p>
        </w:tc>
        <w:tc>
          <w:tcPr>
            <w:tcW w:w="2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8,098</w:t>
            </w:r>
          </w:p>
        </w:tc>
      </w:tr>
      <w:tr>
        <w:trPr>
          <w:trHeight w:val="139"/>
        </w:trPr>
        <w:tc>
          <w:tcPr>
            <w:tcW w:w="366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Total Debt Investments — Technology</w:t>
            </w:r>
          </w:p>
        </w:tc>
        <w:tc>
          <w:tcPr>
            <w:tcW w:w="1300" w:type="dxa"/>
            <w:vAlign w:val="bottom"/>
            <w:tcBorders>
              <w:top w:val="single" w:sz="8" w:color="CCEEFF"/>
            </w:tcBorders>
            <w:shd w:val="clear" w:color="auto" w:fill="CCEEFF"/>
          </w:tcPr>
          <w:p>
            <w:pPr>
              <w:spacing w:after="0"/>
              <w:rPr>
                <w:sz w:val="12"/>
                <w:szCs w:val="12"/>
                <w:color w:val="auto"/>
              </w:rPr>
            </w:pPr>
          </w:p>
        </w:tc>
        <w:tc>
          <w:tcPr>
            <w:tcW w:w="27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15,994</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15,994</w:t>
            </w:r>
          </w:p>
        </w:tc>
        <w:tc>
          <w:tcPr>
            <w:tcW w:w="100" w:type="dxa"/>
            <w:vAlign w:val="bottom"/>
            <w:tcBorders>
              <w:top w:val="single" w:sz="8" w:color="CCEEFF"/>
            </w:tcBorders>
            <w:shd w:val="clear" w:color="auto" w:fill="CCEEFF"/>
          </w:tcPr>
          <w:p>
            <w:pPr>
              <w:spacing w:after="0"/>
              <w:rPr>
                <w:sz w:val="12"/>
                <w:szCs w:val="12"/>
                <w:color w:val="auto"/>
              </w:rPr>
            </w:pPr>
          </w:p>
        </w:tc>
      </w:tr>
      <w:tr>
        <w:trPr>
          <w:trHeight w:val="139"/>
        </w:trPr>
        <w:tc>
          <w:tcPr>
            <w:tcW w:w="3660" w:type="dxa"/>
            <w:vAlign w:val="bottom"/>
          </w:tcPr>
          <w:p>
            <w:pPr>
              <w:spacing w:after="0" w:line="139" w:lineRule="exact"/>
              <w:rPr>
                <w:sz w:val="20"/>
                <w:szCs w:val="20"/>
                <w:color w:val="auto"/>
              </w:rPr>
            </w:pPr>
            <w:r>
              <w:rPr>
                <w:rFonts w:ascii="Arial" w:cs="Arial" w:eastAsia="Arial" w:hAnsi="Arial"/>
                <w:sz w:val="14"/>
                <w:szCs w:val="14"/>
                <w:b w:val="1"/>
                <w:bCs w:val="1"/>
                <w:color w:val="auto"/>
                <w:w w:val="95"/>
              </w:rPr>
              <w:t>Debt Investments — Healthcare information and services</w:t>
            </w:r>
          </w:p>
        </w:tc>
        <w:tc>
          <w:tcPr>
            <w:tcW w:w="1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36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HealthEdge Software, Inc. (6)(7)</w:t>
            </w:r>
          </w:p>
        </w:tc>
        <w:tc>
          <w:tcPr>
            <w:tcW w:w="1300" w:type="dxa"/>
            <w:vAlign w:val="bottom"/>
            <w:shd w:val="clear" w:color="auto" w:fill="CCEEFF"/>
          </w:tcPr>
          <w:p>
            <w:pPr>
              <w:ind w:left="240"/>
              <w:spacing w:after="0" w:line="127" w:lineRule="exact"/>
              <w:rPr>
                <w:sz w:val="20"/>
                <w:szCs w:val="20"/>
                <w:color w:val="auto"/>
              </w:rPr>
            </w:pPr>
            <w:r>
              <w:rPr>
                <w:rFonts w:ascii="Arial" w:cs="Arial" w:eastAsia="Arial" w:hAnsi="Arial"/>
                <w:sz w:val="14"/>
                <w:szCs w:val="14"/>
                <w:color w:val="auto"/>
              </w:rPr>
              <w:t>Software</w:t>
            </w:r>
          </w:p>
        </w:tc>
        <w:tc>
          <w:tcPr>
            <w:tcW w:w="2780" w:type="dxa"/>
            <w:vAlign w:val="bottom"/>
            <w:shd w:val="clear" w:color="auto" w:fill="CCEEFF"/>
          </w:tcPr>
          <w:p>
            <w:pPr>
              <w:ind w:left="340"/>
              <w:spacing w:after="0" w:line="127" w:lineRule="exact"/>
              <w:rPr>
                <w:sz w:val="20"/>
                <w:szCs w:val="20"/>
                <w:color w:val="auto"/>
              </w:rPr>
            </w:pPr>
            <w:r>
              <w:rPr>
                <w:rFonts w:ascii="Arial" w:cs="Arial" w:eastAsia="Arial" w:hAnsi="Arial"/>
                <w:sz w:val="14"/>
                <w:szCs w:val="14"/>
                <w:color w:val="auto"/>
                <w:w w:val="94"/>
              </w:rPr>
              <w:t>Term Loan (10.60% cash (Libor + 8.25%;</w:t>
            </w: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78"/>
        </w:trPr>
        <w:tc>
          <w:tcPr>
            <w:tcW w:w="36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7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7"/>
              </w:rPr>
              <w:t>Floor 9.25%), 3.00% ETP, Due 10/1/23)</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3,750</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3,699</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3,699</w:t>
            </w:r>
          </w:p>
        </w:tc>
      </w:tr>
      <w:tr>
        <w:trPr>
          <w:trHeight w:val="139"/>
        </w:trPr>
        <w:tc>
          <w:tcPr>
            <w:tcW w:w="3660" w:type="dxa"/>
            <w:vAlign w:val="bottom"/>
            <w:tcBorders>
              <w:bottom w:val="single" w:sz="8" w:color="CCEEFF"/>
            </w:tcBorders>
          </w:tcPr>
          <w:p>
            <w:pPr>
              <w:spacing w:after="0" w:line="139" w:lineRule="exact"/>
              <w:rPr>
                <w:sz w:val="20"/>
                <w:szCs w:val="20"/>
                <w:color w:val="auto"/>
              </w:rPr>
            </w:pPr>
            <w:r>
              <w:rPr>
                <w:rFonts w:ascii="Arial" w:cs="Arial" w:eastAsia="Arial" w:hAnsi="Arial"/>
                <w:sz w:val="14"/>
                <w:szCs w:val="14"/>
                <w:color w:val="auto"/>
                <w:w w:val="93"/>
              </w:rPr>
              <w:t>Total Debt Investments — Healthcare information and services</w:t>
            </w:r>
          </w:p>
        </w:tc>
        <w:tc>
          <w:tcPr>
            <w:tcW w:w="1300" w:type="dxa"/>
            <w:vAlign w:val="bottom"/>
            <w:tcBorders>
              <w:bottom w:val="single" w:sz="8" w:color="CCEEFF"/>
            </w:tcBorders>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3,699</w:t>
            </w:r>
          </w:p>
        </w:tc>
        <w:tc>
          <w:tcPr>
            <w:tcW w:w="2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3,699</w:t>
            </w:r>
          </w:p>
        </w:tc>
        <w:tc>
          <w:tcPr>
            <w:tcW w:w="100" w:type="dxa"/>
            <w:vAlign w:val="bottom"/>
            <w:tcBorders>
              <w:bottom w:val="single" w:sz="8" w:color="CCEEFF"/>
            </w:tcBorders>
          </w:tcPr>
          <w:p>
            <w:pPr>
              <w:spacing w:after="0"/>
              <w:rPr>
                <w:sz w:val="12"/>
                <w:szCs w:val="12"/>
                <w:color w:val="auto"/>
              </w:rPr>
            </w:pPr>
          </w:p>
        </w:tc>
      </w:tr>
      <w:tr>
        <w:trPr>
          <w:trHeight w:val="139"/>
        </w:trPr>
        <w:tc>
          <w:tcPr>
            <w:tcW w:w="366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Total Debt Investments</w:t>
            </w:r>
          </w:p>
        </w:tc>
        <w:tc>
          <w:tcPr>
            <w:tcW w:w="130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24,591</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24,591</w:t>
            </w:r>
          </w:p>
        </w:tc>
        <w:tc>
          <w:tcPr>
            <w:tcW w:w="100" w:type="dxa"/>
            <w:vAlign w:val="bottom"/>
            <w:shd w:val="clear" w:color="auto" w:fill="CCEEFF"/>
          </w:tcPr>
          <w:p>
            <w:pPr>
              <w:spacing w:after="0"/>
              <w:rPr>
                <w:sz w:val="12"/>
                <w:szCs w:val="12"/>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0" w:type="dxa"/>
            <w:vAlign w:val="bottom"/>
          </w:tcPr>
          <w:p>
            <w:pPr>
              <w:jc w:val="center"/>
              <w:ind w:right="9"/>
              <w:spacing w:after="0"/>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Cost of</w:t>
            </w:r>
          </w:p>
        </w:tc>
        <w:tc>
          <w:tcPr>
            <w:tcW w:w="2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6"/>
        </w:trPr>
        <w:tc>
          <w:tcPr>
            <w:tcW w:w="3800" w:type="dxa"/>
            <w:vAlign w:val="bottom"/>
            <w:gridSpan w:val="2"/>
          </w:tcPr>
          <w:p>
            <w:pPr>
              <w:spacing w:after="0" w:line="197" w:lineRule="exact"/>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2"/>
                <w:szCs w:val="22"/>
                <w:b w:val="1"/>
                <w:bCs w:val="1"/>
                <w:color w:val="auto"/>
                <w:vertAlign w:val="superscript"/>
              </w:rPr>
              <w:t>(1)</w:t>
            </w:r>
          </w:p>
        </w:tc>
        <w:tc>
          <w:tcPr>
            <w:tcW w:w="1160" w:type="dxa"/>
            <w:vAlign w:val="bottom"/>
          </w:tcPr>
          <w:p>
            <w:pPr>
              <w:ind w:left="420"/>
              <w:spacing w:after="0"/>
              <w:rPr>
                <w:sz w:val="20"/>
                <w:szCs w:val="20"/>
                <w:color w:val="auto"/>
              </w:rPr>
            </w:pPr>
            <w:r>
              <w:rPr>
                <w:rFonts w:ascii="Arial" w:cs="Arial" w:eastAsia="Arial" w:hAnsi="Arial"/>
                <w:sz w:val="14"/>
                <w:szCs w:val="14"/>
                <w:b w:val="1"/>
                <w:bCs w:val="1"/>
                <w:color w:val="auto"/>
              </w:rPr>
              <w:t>Sector</w:t>
            </w:r>
          </w:p>
        </w:tc>
        <w:tc>
          <w:tcPr>
            <w:tcW w:w="2720" w:type="dxa"/>
            <w:vAlign w:val="bottom"/>
          </w:tcPr>
          <w:p>
            <w:pPr>
              <w:ind w:left="740"/>
              <w:spacing w:after="0" w:line="197" w:lineRule="exact"/>
              <w:rPr>
                <w:sz w:val="20"/>
                <w:szCs w:val="20"/>
                <w:color w:val="auto"/>
              </w:rPr>
            </w:pPr>
            <w:r>
              <w:rPr>
                <w:rFonts w:ascii="Arial" w:cs="Arial" w:eastAsia="Arial" w:hAnsi="Arial"/>
                <w:sz w:val="14"/>
                <w:szCs w:val="14"/>
                <w:b w:val="1"/>
                <w:bCs w:val="1"/>
                <w:color w:val="auto"/>
              </w:rPr>
              <w:t xml:space="preserve">Type of Investment </w:t>
            </w:r>
            <w:r>
              <w:rPr>
                <w:rFonts w:ascii="Arial" w:cs="Arial" w:eastAsia="Arial" w:hAnsi="Arial"/>
                <w:sz w:val="22"/>
                <w:szCs w:val="22"/>
                <w:b w:val="1"/>
                <w:bCs w:val="1"/>
                <w:color w:val="auto"/>
                <w:vertAlign w:val="superscript"/>
              </w:rPr>
              <w:t>(2)(3)(4)</w:t>
            </w:r>
          </w:p>
        </w:tc>
        <w:tc>
          <w:tcPr>
            <w:tcW w:w="1400" w:type="dxa"/>
            <w:vAlign w:val="bottom"/>
          </w:tcPr>
          <w:p>
            <w:pPr>
              <w:jc w:val="center"/>
              <w:ind w:right="29"/>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7"/>
                <w:szCs w:val="17"/>
                <w:color w:val="auto"/>
              </w:rPr>
            </w:pPr>
          </w:p>
        </w:tc>
        <w:tc>
          <w:tcPr>
            <w:tcW w:w="1140" w:type="dxa"/>
            <w:vAlign w:val="bottom"/>
            <w:gridSpan w:val="2"/>
          </w:tcPr>
          <w:p>
            <w:pPr>
              <w:jc w:val="center"/>
              <w:ind w:right="280"/>
              <w:spacing w:after="0" w:line="197" w:lineRule="exact"/>
              <w:rPr>
                <w:sz w:val="20"/>
                <w:szCs w:val="20"/>
                <w:color w:val="auto"/>
              </w:rPr>
            </w:pPr>
            <w:r>
              <w:rPr>
                <w:rFonts w:ascii="Arial" w:cs="Arial" w:eastAsia="Arial" w:hAnsi="Arial"/>
                <w:sz w:val="14"/>
                <w:szCs w:val="14"/>
                <w:b w:val="1"/>
                <w:bCs w:val="1"/>
                <w:color w:val="auto"/>
                <w:w w:val="86"/>
              </w:rPr>
              <w:t>Investments</w:t>
            </w:r>
            <w:r>
              <w:rPr>
                <w:rFonts w:ascii="Arial" w:cs="Arial" w:eastAsia="Arial" w:hAnsi="Arial"/>
                <w:sz w:val="22"/>
                <w:szCs w:val="22"/>
                <w:b w:val="1"/>
                <w:bCs w:val="1"/>
                <w:color w:val="auto"/>
                <w:w w:val="86"/>
                <w:vertAlign w:val="superscript"/>
              </w:rPr>
              <w:t>(5)</w:t>
            </w:r>
          </w:p>
        </w:tc>
        <w:tc>
          <w:tcPr>
            <w:tcW w:w="220" w:type="dxa"/>
            <w:vAlign w:val="bottom"/>
          </w:tcPr>
          <w:p>
            <w:pPr>
              <w:spacing w:after="0"/>
              <w:rPr>
                <w:sz w:val="17"/>
                <w:szCs w:val="17"/>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7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14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780" w:type="dxa"/>
            <w:vAlign w:val="bottom"/>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Warrant Investments — Life science</w:t>
            </w:r>
          </w:p>
        </w:tc>
        <w:tc>
          <w:tcPr>
            <w:tcW w:w="116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Celsion Corporation (6)(7)(8)</w:t>
            </w:r>
          </w:p>
        </w:tc>
        <w:tc>
          <w:tcPr>
            <w:tcW w:w="1160" w:type="dxa"/>
            <w:vAlign w:val="bottom"/>
            <w:tcBorders>
              <w:bottom w:val="single" w:sz="8" w:color="CCEEFF"/>
            </w:tcBorders>
          </w:tcPr>
          <w:p>
            <w:pPr>
              <w:ind w:left="100"/>
              <w:spacing w:after="0" w:line="159" w:lineRule="exact"/>
              <w:rPr>
                <w:sz w:val="20"/>
                <w:szCs w:val="20"/>
                <w:color w:val="auto"/>
              </w:rPr>
            </w:pPr>
            <w:r>
              <w:rPr>
                <w:rFonts w:ascii="Arial" w:cs="Arial" w:eastAsia="Arial" w:hAnsi="Arial"/>
                <w:sz w:val="14"/>
                <w:szCs w:val="14"/>
                <w:color w:val="auto"/>
              </w:rPr>
              <w:t>Biotechnology</w:t>
            </w:r>
          </w:p>
        </w:tc>
        <w:tc>
          <w:tcPr>
            <w:tcW w:w="2720" w:type="dxa"/>
            <w:vAlign w:val="bottom"/>
            <w:tcBorders>
              <w:bottom w:val="single" w:sz="8" w:color="CCEEFF"/>
            </w:tcBorders>
          </w:tcPr>
          <w:p>
            <w:pPr>
              <w:ind w:left="340"/>
              <w:spacing w:after="0" w:line="159" w:lineRule="exact"/>
              <w:rPr>
                <w:sz w:val="20"/>
                <w:szCs w:val="20"/>
                <w:color w:val="auto"/>
              </w:rPr>
            </w:pPr>
            <w:r>
              <w:rPr>
                <w:rFonts w:ascii="Arial" w:cs="Arial" w:eastAsia="Arial" w:hAnsi="Arial"/>
                <w:sz w:val="14"/>
                <w:szCs w:val="14"/>
                <w:color w:val="auto"/>
              </w:rPr>
              <w:t>95,057 Common Stock Warrants</w:t>
            </w:r>
          </w:p>
        </w:tc>
        <w:tc>
          <w:tcPr>
            <w:tcW w:w="14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58</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Total Warrant Investments — Life science</w:t>
            </w:r>
          </w:p>
        </w:tc>
        <w:tc>
          <w:tcPr>
            <w:tcW w:w="116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58</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80" w:type="dxa"/>
            <w:vAlign w:val="bottom"/>
          </w:tcPr>
          <w:p>
            <w:pPr>
              <w:spacing w:after="0" w:line="139" w:lineRule="exact"/>
              <w:rPr>
                <w:sz w:val="20"/>
                <w:szCs w:val="20"/>
                <w:color w:val="auto"/>
              </w:rPr>
            </w:pPr>
            <w:r>
              <w:rPr>
                <w:rFonts w:ascii="Arial" w:cs="Arial" w:eastAsia="Arial" w:hAnsi="Arial"/>
                <w:sz w:val="14"/>
                <w:szCs w:val="14"/>
                <w:b w:val="1"/>
                <w:bCs w:val="1"/>
                <w:color w:val="auto"/>
              </w:rPr>
              <w:t>Warrant Investments — Technology</w:t>
            </w:r>
          </w:p>
        </w:tc>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Intelepeer Holdings, Inc. (6)(7)</w:t>
            </w:r>
          </w:p>
        </w:tc>
        <w:tc>
          <w:tcPr>
            <w:tcW w:w="1160" w:type="dxa"/>
            <w:vAlign w:val="bottom"/>
            <w:shd w:val="clear" w:color="auto" w:fill="CCEEFF"/>
          </w:tcPr>
          <w:p>
            <w:pPr>
              <w:ind w:left="100"/>
              <w:spacing w:after="0" w:line="146" w:lineRule="exact"/>
              <w:rPr>
                <w:sz w:val="20"/>
                <w:szCs w:val="20"/>
                <w:color w:val="auto"/>
              </w:rPr>
            </w:pPr>
            <w:r>
              <w:rPr>
                <w:rFonts w:ascii="Arial" w:cs="Arial" w:eastAsia="Arial" w:hAnsi="Arial"/>
                <w:sz w:val="14"/>
                <w:szCs w:val="14"/>
                <w:color w:val="auto"/>
                <w:w w:val="99"/>
              </w:rPr>
              <w:t>Communications</w:t>
            </w:r>
          </w:p>
        </w:tc>
        <w:tc>
          <w:tcPr>
            <w:tcW w:w="2720" w:type="dxa"/>
            <w:vAlign w:val="bottom"/>
            <w:shd w:val="clear" w:color="auto" w:fill="CCEEFF"/>
          </w:tcPr>
          <w:p>
            <w:pPr>
              <w:ind w:left="340"/>
              <w:spacing w:after="0" w:line="146" w:lineRule="exact"/>
              <w:rPr>
                <w:sz w:val="20"/>
                <w:szCs w:val="20"/>
                <w:color w:val="auto"/>
              </w:rPr>
            </w:pPr>
            <w:r>
              <w:rPr>
                <w:rFonts w:ascii="Arial" w:cs="Arial" w:eastAsia="Arial" w:hAnsi="Arial"/>
                <w:sz w:val="14"/>
                <w:szCs w:val="14"/>
                <w:color w:val="auto"/>
              </w:rPr>
              <w:t>1,280,000 Preferred Stock Warrants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BSI Platform Holdings, LLC (6)(7)(9)</w:t>
            </w:r>
          </w:p>
        </w:tc>
        <w:tc>
          <w:tcPr>
            <w:tcW w:w="1160" w:type="dxa"/>
            <w:vAlign w:val="bottom"/>
            <w:tcBorders>
              <w:bottom w:val="single" w:sz="8" w:color="CCEEFF"/>
            </w:tcBorders>
          </w:tcPr>
          <w:p>
            <w:pPr>
              <w:ind w:left="100"/>
              <w:spacing w:after="0" w:line="159" w:lineRule="exact"/>
              <w:rPr>
                <w:sz w:val="20"/>
                <w:szCs w:val="20"/>
                <w:color w:val="auto"/>
              </w:rPr>
            </w:pPr>
            <w:r>
              <w:rPr>
                <w:rFonts w:ascii="Arial" w:cs="Arial" w:eastAsia="Arial" w:hAnsi="Arial"/>
                <w:sz w:val="14"/>
                <w:szCs w:val="14"/>
                <w:color w:val="auto"/>
              </w:rPr>
              <w:t>Software</w:t>
            </w:r>
          </w:p>
        </w:tc>
        <w:tc>
          <w:tcPr>
            <w:tcW w:w="2720" w:type="dxa"/>
            <w:vAlign w:val="bottom"/>
            <w:tcBorders>
              <w:bottom w:val="single" w:sz="8" w:color="CCEEFF"/>
            </w:tcBorders>
          </w:tcPr>
          <w:p>
            <w:pPr>
              <w:ind w:left="340"/>
              <w:spacing w:after="0" w:line="159" w:lineRule="exact"/>
              <w:rPr>
                <w:sz w:val="20"/>
                <w:szCs w:val="20"/>
                <w:color w:val="auto"/>
              </w:rPr>
            </w:pPr>
            <w:r>
              <w:rPr>
                <w:rFonts w:ascii="Arial" w:cs="Arial" w:eastAsia="Arial" w:hAnsi="Arial"/>
                <w:sz w:val="14"/>
                <w:szCs w:val="14"/>
                <w:color w:val="auto"/>
              </w:rPr>
              <w:t>412,500 Preferred Stock Warrants</w:t>
            </w:r>
          </w:p>
        </w:tc>
        <w:tc>
          <w:tcPr>
            <w:tcW w:w="14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57</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Total Warrant Investments — Technology</w:t>
            </w:r>
          </w:p>
        </w:tc>
        <w:tc>
          <w:tcPr>
            <w:tcW w:w="116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106</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80" w:type="dxa"/>
            <w:vAlign w:val="bottom"/>
          </w:tcPr>
          <w:p>
            <w:pPr>
              <w:spacing w:after="0" w:line="139" w:lineRule="exact"/>
              <w:rPr>
                <w:sz w:val="20"/>
                <w:szCs w:val="20"/>
                <w:color w:val="auto"/>
              </w:rPr>
            </w:pPr>
            <w:r>
              <w:rPr>
                <w:rFonts w:ascii="Arial" w:cs="Arial" w:eastAsia="Arial" w:hAnsi="Arial"/>
                <w:sz w:val="14"/>
                <w:szCs w:val="14"/>
                <w:b w:val="1"/>
                <w:bCs w:val="1"/>
                <w:color w:val="auto"/>
                <w:w w:val="93"/>
              </w:rPr>
              <w:t>Warrant Investments — Healthcare information and services</w:t>
            </w:r>
          </w:p>
        </w:tc>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HealthEdge Software, Inc. (6)(7)</w:t>
            </w:r>
          </w:p>
        </w:tc>
        <w:tc>
          <w:tcPr>
            <w:tcW w:w="11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Software</w:t>
            </w:r>
          </w:p>
        </w:tc>
        <w:tc>
          <w:tcPr>
            <w:tcW w:w="272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47,418 Preferred Stock Warrants</w:t>
            </w:r>
          </w:p>
        </w:tc>
        <w:tc>
          <w:tcPr>
            <w:tcW w:w="1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80" w:type="dxa"/>
            <w:vAlign w:val="bottom"/>
          </w:tcPr>
          <w:p>
            <w:pPr>
              <w:spacing w:after="0" w:line="107" w:lineRule="exact"/>
              <w:rPr>
                <w:sz w:val="20"/>
                <w:szCs w:val="20"/>
                <w:color w:val="auto"/>
              </w:rPr>
            </w:pPr>
            <w:r>
              <w:rPr>
                <w:rFonts w:ascii="Arial" w:cs="Arial" w:eastAsia="Arial" w:hAnsi="Arial"/>
                <w:sz w:val="12"/>
                <w:szCs w:val="12"/>
                <w:color w:val="auto"/>
              </w:rPr>
              <w:t>Total Warrant Investments — Healthcare information and</w:t>
            </w:r>
          </w:p>
        </w:tc>
        <w:tc>
          <w:tcPr>
            <w:tcW w:w="11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3800" w:type="dxa"/>
            <w:vAlign w:val="bottom"/>
            <w:gridSpan w:val="2"/>
          </w:tcPr>
          <w:p>
            <w:pPr>
              <w:spacing w:after="0"/>
              <w:rPr>
                <w:sz w:val="20"/>
                <w:szCs w:val="20"/>
                <w:color w:val="auto"/>
              </w:rPr>
            </w:pPr>
            <w:r>
              <w:rPr>
                <w:rFonts w:ascii="Arial" w:cs="Arial" w:eastAsia="Arial" w:hAnsi="Arial"/>
                <w:sz w:val="14"/>
                <w:szCs w:val="14"/>
                <w:color w:val="auto"/>
              </w:rPr>
              <w:t>services</w:t>
            </w:r>
          </w:p>
        </w:tc>
        <w:tc>
          <w:tcPr>
            <w:tcW w:w="11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8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Total Warrant Investments</w:t>
            </w:r>
          </w:p>
        </w:tc>
        <w:tc>
          <w:tcPr>
            <w:tcW w:w="1160" w:type="dxa"/>
            <w:vAlign w:val="bottom"/>
            <w:tcBorders>
              <w:top w:val="single" w:sz="8" w:color="CCEEFF"/>
            </w:tcBorders>
            <w:shd w:val="clear" w:color="auto" w:fill="CCEEFF"/>
          </w:tcPr>
          <w:p>
            <w:pPr>
              <w:spacing w:after="0"/>
              <w:rPr>
                <w:sz w:val="12"/>
                <w:szCs w:val="12"/>
                <w:color w:val="auto"/>
              </w:rPr>
            </w:pPr>
          </w:p>
        </w:tc>
        <w:tc>
          <w:tcPr>
            <w:tcW w:w="27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180</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143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3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Portfolio Investment Assets</w:t>
            </w:r>
          </w:p>
        </w:tc>
        <w:tc>
          <w:tcPr>
            <w:tcW w:w="1160" w:type="dxa"/>
            <w:vAlign w:val="bottom"/>
            <w:shd w:val="clear" w:color="auto" w:fill="CCEEFF"/>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24,771</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restart"/>
          </w:tcPr>
          <w:p>
            <w:pPr>
              <w:spacing w:after="0"/>
              <w:rPr>
                <w:sz w:val="10"/>
                <w:szCs w:val="10"/>
                <w:color w:val="auto"/>
              </w:rPr>
            </w:pPr>
          </w:p>
        </w:tc>
        <w:tc>
          <w:tcPr>
            <w:tcW w:w="3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780" w:type="dxa"/>
            <w:vAlign w:val="bottom"/>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Short Term Investments — Money Market Funds</w:t>
            </w:r>
          </w:p>
        </w:tc>
        <w:tc>
          <w:tcPr>
            <w:tcW w:w="116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US Bank Money Market Deposit Account (6)</w:t>
            </w:r>
          </w:p>
        </w:tc>
        <w:tc>
          <w:tcPr>
            <w:tcW w:w="1160" w:type="dxa"/>
            <w:vAlign w:val="bottom"/>
            <w:tcBorders>
              <w:bottom w:val="single" w:sz="8" w:color="CCEEFF"/>
            </w:tcBorders>
          </w:tcPr>
          <w:p>
            <w:pPr>
              <w:spacing w:after="0"/>
              <w:rPr>
                <w:sz w:val="13"/>
                <w:szCs w:val="13"/>
                <w:color w:val="auto"/>
              </w:rPr>
            </w:pPr>
          </w:p>
        </w:tc>
        <w:tc>
          <w:tcPr>
            <w:tcW w:w="272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74</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69"/>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80" w:type="dxa"/>
            <w:vAlign w:val="bottom"/>
            <w:tcBorders>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Total Short Term Investments — Money Market Funds</w:t>
            </w:r>
          </w:p>
        </w:tc>
        <w:tc>
          <w:tcPr>
            <w:tcW w:w="1160" w:type="dxa"/>
            <w:vAlign w:val="bottom"/>
            <w:tcBorders>
              <w:bottom w:val="single" w:sz="8" w:color="CCEEFF"/>
            </w:tcBorders>
            <w:shd w:val="clear" w:color="auto" w:fill="CCEEFF"/>
          </w:tcPr>
          <w:p>
            <w:pPr>
              <w:spacing w:after="0"/>
              <w:rPr>
                <w:sz w:val="13"/>
                <w:szCs w:val="13"/>
                <w:color w:val="auto"/>
              </w:rPr>
            </w:pPr>
          </w:p>
        </w:tc>
        <w:tc>
          <w:tcPr>
            <w:tcW w:w="272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74</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9"/>
              <w:spacing w:after="0" w:line="15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168275</wp:posOffset>
            </wp:positionV>
            <wp:extent cx="10858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85850" cy="8255"/>
                    </a:xfrm>
                    <a:prstGeom prst="rect">
                      <a:avLst/>
                    </a:prstGeom>
                    <a:noFill/>
                  </pic:spPr>
                </pic:pic>
              </a:graphicData>
            </a:graphic>
          </wp:anchor>
        </w:drawing>
      </w:r>
    </w:p>
    <w:p>
      <w:pPr>
        <w:spacing w:after="0" w:line="312" w:lineRule="exact"/>
        <w:rPr>
          <w:sz w:val="20"/>
          <w:szCs w:val="20"/>
          <w:color w:val="auto"/>
        </w:rPr>
      </w:pPr>
    </w:p>
    <w:p>
      <w:pPr>
        <w:ind w:left="640" w:hanging="634"/>
        <w:spacing w:after="0" w:line="265"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investments of HSLFI are in entities which are organized under the laws of the United States and have a principal place of business in the United States.</w:t>
      </w:r>
    </w:p>
    <w:p>
      <w:pPr>
        <w:spacing w:after="0" w:line="179" w:lineRule="exact"/>
        <w:rPr>
          <w:rFonts w:ascii="Arial" w:cs="Arial" w:eastAsia="Arial" w:hAnsi="Arial"/>
          <w:sz w:val="18"/>
          <w:szCs w:val="18"/>
          <w:color w:val="auto"/>
        </w:rPr>
      </w:pPr>
    </w:p>
    <w:p>
      <w:pPr>
        <w:jc w:val="both"/>
        <w:ind w:left="640" w:hanging="634"/>
        <w:spacing w:after="0" w:line="250"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2018 is provided.</w:t>
      </w:r>
    </w:p>
    <w:p>
      <w:pPr>
        <w:spacing w:after="0" w:line="194"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ectPr>
          <w:pgSz w:w="11900" w:h="16838" w:orient="portrait"/>
          <w:cols w:equalWidth="0" w:num="1">
            <w:col w:w="11420"/>
          </w:cols>
          <w:pgMar w:left="240" w:top="883" w:right="239" w:bottom="1440" w:gutter="0" w:footer="0" w:header="0"/>
        </w:sectPr>
      </w:pPr>
    </w:p>
    <w:p>
      <w:pPr>
        <w:spacing w:after="0" w:line="189" w:lineRule="exact"/>
        <w:rPr>
          <w:sz w:val="20"/>
          <w:szCs w:val="20"/>
          <w:color w:val="auto"/>
        </w:rPr>
      </w:pPr>
    </w:p>
    <w:p>
      <w:pPr>
        <w:ind w:left="640" w:hanging="63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Warrants are non-income producing.</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Has been pledged as collateral under the NYL Facility.</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provides HSLFI’s unfunded commitments by portfolio company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New Signature US,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249160" cy="142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9160" cy="1428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December 31, 2018</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32"/>
              <w:spacing w:after="0" w:line="189" w:lineRule="exact"/>
              <w:rPr>
                <w:sz w:val="20"/>
                <w:szCs w:val="20"/>
                <w:color w:val="auto"/>
              </w:rPr>
            </w:pPr>
            <w:r>
              <w:rPr>
                <w:rFonts w:ascii="Arial" w:cs="Arial" w:eastAsia="Arial" w:hAnsi="Arial"/>
                <w:sz w:val="18"/>
                <w:szCs w:val="18"/>
                <w:b w:val="1"/>
                <w:bCs w:val="1"/>
                <w:color w:val="auto"/>
                <w:w w:val="90"/>
              </w:rPr>
              <w:t>Fair Value of</w:t>
            </w:r>
          </w:p>
        </w:tc>
      </w:tr>
      <w:tr>
        <w:trPr>
          <w:trHeight w:val="212"/>
        </w:trPr>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2"/>
              <w:spacing w:after="0"/>
              <w:rPr>
                <w:sz w:val="20"/>
                <w:szCs w:val="20"/>
                <w:color w:val="auto"/>
              </w:rPr>
            </w:pPr>
            <w:r>
              <w:rPr>
                <w:rFonts w:ascii="Arial" w:cs="Arial" w:eastAsia="Arial" w:hAnsi="Arial"/>
                <w:sz w:val="18"/>
                <w:szCs w:val="18"/>
                <w:b w:val="1"/>
                <w:bCs w:val="1"/>
                <w:color w:val="auto"/>
                <w:w w:val="90"/>
              </w:rPr>
              <w:t>Unfunded</w:t>
            </w:r>
          </w:p>
        </w:tc>
      </w:tr>
      <w:tr>
        <w:trPr>
          <w:trHeight w:val="212"/>
        </w:trPr>
        <w:tc>
          <w:tcPr>
            <w:tcW w:w="2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Principal</w:t>
            </w:r>
          </w:p>
        </w:tc>
        <w:tc>
          <w:tcPr>
            <w:tcW w:w="120" w:type="dxa"/>
            <w:vAlign w:val="bottom"/>
          </w:tcPr>
          <w:p>
            <w:pPr>
              <w:spacing w:after="0"/>
              <w:rPr>
                <w:sz w:val="18"/>
                <w:szCs w:val="18"/>
                <w:color w:val="auto"/>
              </w:rPr>
            </w:pPr>
          </w:p>
        </w:tc>
        <w:tc>
          <w:tcPr>
            <w:tcW w:w="1140" w:type="dxa"/>
            <w:vAlign w:val="bottom"/>
          </w:tcPr>
          <w:p>
            <w:pPr>
              <w:jc w:val="center"/>
              <w:ind w:right="12"/>
              <w:spacing w:after="0"/>
              <w:rPr>
                <w:sz w:val="20"/>
                <w:szCs w:val="20"/>
                <w:color w:val="auto"/>
              </w:rPr>
            </w:pPr>
            <w:r>
              <w:rPr>
                <w:rFonts w:ascii="Arial" w:cs="Arial" w:eastAsia="Arial" w:hAnsi="Arial"/>
                <w:sz w:val="18"/>
                <w:szCs w:val="18"/>
                <w:b w:val="1"/>
                <w:bCs w:val="1"/>
                <w:color w:val="auto"/>
                <w:w w:val="90"/>
              </w:rPr>
              <w:t>Commitment</w:t>
            </w:r>
          </w:p>
        </w:tc>
      </w:tr>
      <w:tr>
        <w:trPr>
          <w:trHeight w:val="230"/>
        </w:trPr>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6"/>
              </w:rPr>
              <w:t>Balance</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6"/>
              </w:rPr>
              <w:t>Liability</w:t>
            </w:r>
          </w:p>
        </w:tc>
      </w:tr>
      <w:tr>
        <w:trPr>
          <w:trHeight w:val="207"/>
        </w:trPr>
        <w:tc>
          <w:tcPr>
            <w:tcW w:w="200" w:type="dxa"/>
            <w:vAlign w:val="bottom"/>
          </w:tcPr>
          <w:p>
            <w:pPr>
              <w:spacing w:after="0"/>
              <w:rPr>
                <w:sz w:val="17"/>
                <w:szCs w:val="17"/>
                <w:color w:val="auto"/>
              </w:rPr>
            </w:pPr>
          </w:p>
        </w:tc>
        <w:tc>
          <w:tcPr>
            <w:tcW w:w="2540" w:type="dxa"/>
            <w:vAlign w:val="bottom"/>
            <w:gridSpan w:val="4"/>
          </w:tcPr>
          <w:p>
            <w:pPr>
              <w:jc w:val="right"/>
              <w:ind w:right="732"/>
              <w:spacing w:after="0"/>
              <w:rPr>
                <w:sz w:val="20"/>
                <w:szCs w:val="20"/>
                <w:color w:val="auto"/>
              </w:rPr>
            </w:pPr>
            <w:r>
              <w:rPr>
                <w:rFonts w:ascii="Arial" w:cs="Arial" w:eastAsia="Arial" w:hAnsi="Arial"/>
                <w:sz w:val="18"/>
                <w:szCs w:val="18"/>
                <w:b w:val="1"/>
                <w:bCs w:val="1"/>
                <w:color w:val="auto"/>
              </w:rPr>
              <w:t>(In thousands)</w:t>
            </w:r>
          </w:p>
        </w:tc>
      </w:tr>
      <w:tr>
        <w:trPr>
          <w:trHeight w:val="224"/>
        </w:trPr>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19"/>
        </w:trPr>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80" w:space="400"/>
            <w:col w:w="2840"/>
          </w:cols>
          <w:pgMar w:left="240" w:top="883" w:right="239" w:bottom="1440" w:gutter="0" w:footer="0" w:header="0"/>
          <w:type w:val="continuous"/>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7249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type w:val="continuous"/>
        </w:sectPr>
      </w:pPr>
    </w:p>
    <w:bookmarkStart w:id="66" w:name="page67"/>
    <w:bookmarkEnd w:id="66"/>
    <w:p>
      <w:pPr>
        <w:ind w:firstLine="318"/>
        <w:spacing w:after="0" w:line="265" w:lineRule="auto"/>
        <w:rPr>
          <w:sz w:val="20"/>
          <w:szCs w:val="20"/>
          <w:color w:val="auto"/>
        </w:rPr>
      </w:pPr>
      <w:r>
        <w:rPr>
          <w:rFonts w:ascii="Arial" w:cs="Arial" w:eastAsia="Arial" w:hAnsi="Arial"/>
          <w:sz w:val="18"/>
          <w:szCs w:val="18"/>
          <w:color w:val="auto"/>
        </w:rPr>
        <w:t>The following tables show certain summarized financial information for HSLFI as of December 31, 2018 and for the period June 1, 2018 through December 31,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7"/>
              </w:rPr>
              <w:t>December 31,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Statement of Assets and Liabilities Information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Total investments at fair value (cost of $24,771)</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20" w:type="dxa"/>
            <w:vAlign w:val="bottom"/>
            <w:gridSpan w:val="4"/>
          </w:tcPr>
          <w:p>
            <w:pPr>
              <w:jc w:val="right"/>
              <w:ind w:right="100"/>
              <w:spacing w:after="0"/>
              <w:rPr>
                <w:sz w:val="20"/>
                <w:szCs w:val="20"/>
                <w:color w:val="auto"/>
              </w:rPr>
            </w:pPr>
            <w:r>
              <w:rPr>
                <w:rFonts w:ascii="Arial" w:cs="Arial" w:eastAsia="Arial" w:hAnsi="Arial"/>
                <w:sz w:val="18"/>
                <w:szCs w:val="18"/>
                <w:color w:val="auto"/>
              </w:rPr>
              <w:t>24,734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Investments in money market funds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26,442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tcBorders>
              <w:bottom w:val="single" w:sz="8" w:color="CCEEFF"/>
            </w:tcBorders>
            <w:gridSpan w:val="2"/>
          </w:tcPr>
          <w:p>
            <w:pPr>
              <w:spacing w:after="0" w:line="206" w:lineRule="exact"/>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3"/>
          </w:tcPr>
          <w:p>
            <w:pPr>
              <w:jc w:val="right"/>
              <w:spacing w:after="0" w:line="206" w:lineRule="exact"/>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6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Members’ equity</w:t>
            </w: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26,361</w:t>
            </w:r>
          </w:p>
        </w:tc>
        <w:tc>
          <w:tcPr>
            <w:tcW w:w="100" w:type="dxa"/>
            <w:vAlign w:val="bottom"/>
            <w:tcBorders>
              <w:bottom w:val="single" w:sz="8" w:color="CCEEFF"/>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26,442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For the period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7"/>
              </w:rPr>
              <w:t>June 1, 2018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through</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5"/>
          </w:tcPr>
          <w:p>
            <w:pPr>
              <w:spacing w:after="0"/>
              <w:rPr>
                <w:sz w:val="20"/>
                <w:szCs w:val="20"/>
                <w:color w:val="auto"/>
              </w:rPr>
            </w:pPr>
            <w:r>
              <w:rPr>
                <w:rFonts w:ascii="Arial" w:cs="Arial" w:eastAsia="Arial" w:hAnsi="Arial"/>
                <w:sz w:val="18"/>
                <w:szCs w:val="18"/>
                <w:b w:val="1"/>
                <w:bCs w:val="1"/>
                <w:color w:val="auto"/>
                <w:w w:val="92"/>
              </w:rPr>
              <w:t>December 31, 2018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Statements of Operations Information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Interest income on investments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20" w:type="dxa"/>
            <w:vAlign w:val="bottom"/>
            <w:gridSpan w:val="4"/>
          </w:tcPr>
          <w:p>
            <w:pPr>
              <w:jc w:val="right"/>
              <w:ind w:right="100"/>
              <w:spacing w:after="0"/>
              <w:rPr>
                <w:sz w:val="20"/>
                <w:szCs w:val="20"/>
                <w:color w:val="auto"/>
              </w:rPr>
            </w:pPr>
            <w:r>
              <w:rPr>
                <w:rFonts w:ascii="Arial" w:cs="Arial" w:eastAsia="Arial" w:hAnsi="Arial"/>
                <w:sz w:val="18"/>
                <w:szCs w:val="18"/>
                <w:color w:val="auto"/>
              </w:rPr>
              <w:t>689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20" w:type="dxa"/>
            <w:vAlign w:val="bottom"/>
            <w:gridSpan w:val="4"/>
          </w:tcPr>
          <w:p>
            <w:pPr>
              <w:jc w:val="right"/>
              <w:ind w:right="100"/>
              <w:spacing w:after="0"/>
              <w:rPr>
                <w:sz w:val="20"/>
                <w:szCs w:val="20"/>
                <w:color w:val="auto"/>
              </w:rPr>
            </w:pPr>
            <w:r>
              <w:rPr>
                <w:rFonts w:ascii="Arial" w:cs="Arial" w:eastAsia="Arial" w:hAnsi="Arial"/>
                <w:sz w:val="18"/>
                <w:szCs w:val="18"/>
                <w:color w:val="auto"/>
              </w:rPr>
              <w:t>509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20" w:type="dxa"/>
            <w:vAlign w:val="bottom"/>
            <w:gridSpan w:val="4"/>
          </w:tcPr>
          <w:p>
            <w:pPr>
              <w:jc w:val="right"/>
              <w:ind w:right="100"/>
              <w:spacing w:after="0"/>
              <w:rPr>
                <w:sz w:val="20"/>
                <w:szCs w:val="20"/>
                <w:color w:val="auto"/>
              </w:rPr>
            </w:pPr>
            <w:r>
              <w:rPr>
                <w:rFonts w:ascii="Arial" w:cs="Arial" w:eastAsia="Arial" w:hAnsi="Arial"/>
                <w:sz w:val="18"/>
                <w:szCs w:val="18"/>
                <w:color w:val="auto"/>
              </w:rPr>
              <w:t>472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6340" w:type="dxa"/>
            <w:vAlign w:val="bottom"/>
            <w:gridSpan w:val="3"/>
          </w:tcPr>
          <w:p>
            <w:pPr>
              <w:spacing w:after="0"/>
              <w:rPr>
                <w:sz w:val="20"/>
                <w:szCs w:val="20"/>
                <w:color w:val="auto"/>
              </w:rPr>
            </w:pPr>
            <w:r>
              <w:rPr>
                <w:rFonts w:ascii="Arial" w:cs="Arial" w:eastAsia="Arial" w:hAnsi="Arial"/>
                <w:sz w:val="18"/>
                <w:szCs w:val="18"/>
                <w:b w:val="1"/>
                <w:bCs w:val="1"/>
                <w:color w:val="auto"/>
                <w:w w:val="93"/>
              </w:rPr>
              <w:t>Consolidated results of operations of Horizon Technology Finance Corporation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8840" w:type="dxa"/>
            <w:vAlign w:val="bottom"/>
            <w:gridSpan w:val="9"/>
          </w:tcPr>
          <w:p>
            <w:pPr>
              <w:ind w:left="300"/>
              <w:spacing w:after="0"/>
              <w:rPr>
                <w:sz w:val="20"/>
                <w:szCs w:val="20"/>
                <w:color w:val="auto"/>
              </w:rPr>
            </w:pPr>
            <w:r>
              <w:rPr>
                <w:rFonts w:ascii="Arial" w:cs="Arial" w:eastAsia="Arial" w:hAnsi="Arial"/>
                <w:sz w:val="18"/>
                <w:szCs w:val="18"/>
                <w:color w:val="auto"/>
                <w:w w:val="90"/>
              </w:rPr>
              <w:t>The consolidated results of operations described below may not be indicative of the results we report in future periods.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8840" w:type="dxa"/>
            <w:vAlign w:val="bottom"/>
            <w:gridSpan w:val="9"/>
          </w:tcPr>
          <w:p>
            <w:pPr>
              <w:ind w:left="300"/>
              <w:spacing w:after="0"/>
              <w:rPr>
                <w:sz w:val="20"/>
                <w:szCs w:val="20"/>
                <w:color w:val="auto"/>
              </w:rPr>
            </w:pPr>
            <w:r>
              <w:rPr>
                <w:rFonts w:ascii="Arial" w:cs="Arial" w:eastAsia="Arial" w:hAnsi="Arial"/>
                <w:sz w:val="18"/>
                <w:szCs w:val="18"/>
                <w:color w:val="auto"/>
                <w:w w:val="90"/>
              </w:rPr>
              <w:t>The following table shows consolidated results of operations for the years ended December 31, 2018, 2017 and 2016: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4"/>
          </w:tcPr>
          <w:p>
            <w:pPr>
              <w:jc w:val="right"/>
              <w:ind w:right="103"/>
              <w:spacing w:after="0" w:line="206" w:lineRule="exact"/>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31,090</w:t>
            </w:r>
          </w:p>
        </w:tc>
        <w:tc>
          <w:tcPr>
            <w:tcW w:w="3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25,777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87"/>
              </w:rPr>
              <w:t>32,984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19"/>
                <w:szCs w:val="19"/>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18,374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3"/>
              <w:spacing w:after="0"/>
              <w:rPr>
                <w:sz w:val="20"/>
                <w:szCs w:val="20"/>
                <w:color w:val="auto"/>
              </w:rPr>
            </w:pPr>
            <w:r>
              <w:rPr>
                <w:rFonts w:ascii="Arial" w:cs="Arial" w:eastAsia="Arial" w:hAnsi="Arial"/>
                <w:sz w:val="18"/>
                <w:szCs w:val="18"/>
                <w:color w:val="auto"/>
              </w:rPr>
              <w:t>13,534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3"/>
              <w:spacing w:after="0"/>
              <w:rPr>
                <w:sz w:val="20"/>
                <w:szCs w:val="20"/>
                <w:color w:val="auto"/>
              </w:rPr>
            </w:pPr>
            <w:r>
              <w:rPr>
                <w:rFonts w:ascii="Arial" w:cs="Arial" w:eastAsia="Arial" w:hAnsi="Arial"/>
                <w:sz w:val="18"/>
                <w:szCs w:val="18"/>
                <w:color w:val="auto"/>
                <w:w w:val="87"/>
              </w:rPr>
              <w:t>15,972</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Performance based incentive fees waived</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top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79"/>
              </w:rPr>
              <w: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expenses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17,190</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13,455</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87"/>
              </w:rPr>
              <w:t>15,972</w:t>
            </w:r>
          </w:p>
        </w:tc>
        <w:tc>
          <w:tcPr>
            <w:tcW w:w="100" w:type="dxa"/>
            <w:vAlign w:val="bottom"/>
            <w:tcBorders>
              <w:bottom w:val="single" w:sz="8" w:color="CCEEFF"/>
            </w:tcBorders>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investment income before excise tax</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13,900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12,322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87"/>
              </w:rPr>
              <w:t>17,012</w:t>
            </w:r>
          </w:p>
        </w:tc>
        <w:tc>
          <w:tcPr>
            <w:tcW w:w="100" w:type="dxa"/>
            <w:vAlign w:val="bottom"/>
            <w:shd w:val="clear" w:color="auto" w:fill="CCEEFF"/>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Provision (credit) for excise tax</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3"/>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Net investment income</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13,866</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12,297</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87"/>
              </w:rPr>
              <w:t>17,099</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24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3"/>
              <w:spacing w:after="0"/>
              <w:rPr>
                <w:sz w:val="20"/>
                <w:szCs w:val="20"/>
                <w:color w:val="auto"/>
              </w:rPr>
            </w:pPr>
            <w:r>
              <w:rPr>
                <w:rFonts w:ascii="Arial" w:cs="Arial" w:eastAsia="Arial" w:hAnsi="Arial"/>
                <w:sz w:val="18"/>
                <w:szCs w:val="18"/>
                <w:color w:val="auto"/>
              </w:rPr>
              <w:t>(21,191)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(7,776)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18,485</w:t>
            </w:r>
          </w:p>
        </w:tc>
        <w:tc>
          <w:tcPr>
            <w:tcW w:w="22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(14,236)</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9"/>
              </w:rPr>
              <w:t>)</w:t>
            </w: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20" w:type="dxa"/>
            <w:vAlign w:val="bottom"/>
            <w:vMerge w:val="continue"/>
          </w:tcPr>
          <w:p>
            <w:pPr>
              <w:spacing w:after="0"/>
              <w:rPr>
                <w:sz w:val="22"/>
                <w:szCs w:val="22"/>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13,010</w:t>
            </w:r>
          </w:p>
        </w:tc>
        <w:tc>
          <w:tcPr>
            <w:tcW w:w="100" w:type="dxa"/>
            <w:vAlign w:val="bottom"/>
          </w:tcPr>
          <w:p>
            <w:pPr>
              <w:spacing w:after="0"/>
              <w:rPr>
                <w:sz w:val="22"/>
                <w:szCs w:val="22"/>
                <w:color w:val="auto"/>
              </w:rPr>
            </w:pPr>
          </w:p>
        </w:tc>
        <w:tc>
          <w:tcPr>
            <w:tcW w:w="3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3"/>
              <w:spacing w:after="0"/>
              <w:rPr>
                <w:sz w:val="20"/>
                <w:szCs w:val="20"/>
                <w:color w:val="auto"/>
              </w:rPr>
            </w:pPr>
            <w:r>
              <w:rPr>
                <w:rFonts w:ascii="Arial" w:cs="Arial" w:eastAsia="Arial" w:hAnsi="Arial"/>
                <w:sz w:val="18"/>
                <w:szCs w:val="18"/>
                <w:color w:val="auto"/>
              </w:rPr>
              <w:t>9,591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(4,913</w:t>
            </w:r>
          </w:p>
        </w:tc>
        <w:tc>
          <w:tcPr>
            <w:tcW w:w="100" w:type="dxa"/>
            <w:vAlign w:val="bottom"/>
            <w:vMerge w:val="continue"/>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2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Average debt investments, at fair value</w:t>
            </w:r>
          </w:p>
        </w:tc>
        <w:tc>
          <w:tcPr>
            <w:tcW w:w="240" w:type="dxa"/>
            <w:vAlign w:val="bottom"/>
            <w:tcBorders>
              <w:top w:val="single" w:sz="8" w:color="auto"/>
              <w:bottom w:val="single" w:sz="8" w:color="auto"/>
            </w:tcBorders>
            <w:shd w:val="clear" w:color="auto" w:fill="CCEEFF"/>
          </w:tcPr>
          <w:p>
            <w:pPr>
              <w:jc w:val="right"/>
              <w:ind w:right="52"/>
              <w:spacing w:after="0" w:line="19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200,911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170,685</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32"/>
              <w:spacing w:after="0" w:line="19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shd w:val="clear" w:color="auto" w:fill="CCEEFF"/>
          </w:tcPr>
          <w:p>
            <w:pPr>
              <w:jc w:val="right"/>
              <w:spacing w:after="0" w:line="193" w:lineRule="exact"/>
              <w:rPr>
                <w:sz w:val="20"/>
                <w:szCs w:val="20"/>
                <w:color w:val="auto"/>
              </w:rPr>
            </w:pPr>
            <w:r>
              <w:rPr>
                <w:rFonts w:ascii="Arial" w:cs="Arial" w:eastAsia="Arial" w:hAnsi="Arial"/>
                <w:sz w:val="18"/>
                <w:szCs w:val="18"/>
                <w:color w:val="auto"/>
              </w:rPr>
              <w:t>221,257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20" w:type="dxa"/>
            <w:vAlign w:val="bottom"/>
            <w:vMerge w:val="restart"/>
          </w:tcPr>
          <w:p>
            <w:pPr>
              <w:spacing w:after="0"/>
              <w:rPr>
                <w:sz w:val="20"/>
                <w:szCs w:val="20"/>
                <w:color w:val="auto"/>
              </w:rPr>
            </w:pPr>
            <w:r>
              <w:rPr>
                <w:rFonts w:ascii="Arial" w:cs="Arial" w:eastAsia="Arial" w:hAnsi="Arial"/>
                <w:sz w:val="18"/>
                <w:szCs w:val="18"/>
                <w:color w:val="auto"/>
              </w:rPr>
              <w:t>Average borrowings outstanding</w:t>
            </w: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20" w:type="dxa"/>
            <w:vAlign w:val="bottom"/>
            <w:vMerge w:val="continue"/>
          </w:tcPr>
          <w:p>
            <w:pPr>
              <w:spacing w:after="0"/>
              <w:rPr>
                <w:sz w:val="16"/>
                <w:szCs w:val="16"/>
                <w:color w:val="auto"/>
              </w:rPr>
            </w:pPr>
          </w:p>
        </w:tc>
        <w:tc>
          <w:tcPr>
            <w:tcW w:w="240" w:type="dxa"/>
            <w:vAlign w:val="bottom"/>
            <w:tcBorders>
              <w:top w:val="single" w:sz="8" w:color="auto"/>
              <w:bottom w:val="single" w:sz="8" w:color="auto"/>
            </w:tcBorders>
          </w:tcPr>
          <w:p>
            <w:pPr>
              <w:jc w:val="right"/>
              <w:ind w:right="52"/>
              <w:spacing w:after="0" w:line="19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99,415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75,960</w:t>
            </w:r>
          </w:p>
        </w:tc>
        <w:tc>
          <w:tcPr>
            <w:tcW w:w="1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2"/>
              <w:spacing w:after="0" w:line="19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tcPr>
          <w:p>
            <w:pPr>
              <w:jc w:val="right"/>
              <w:spacing w:after="0" w:line="192" w:lineRule="exact"/>
              <w:rPr>
                <w:sz w:val="20"/>
                <w:szCs w:val="20"/>
                <w:color w:val="auto"/>
              </w:rPr>
            </w:pPr>
            <w:r>
              <w:rPr>
                <w:rFonts w:ascii="Arial" w:cs="Arial" w:eastAsia="Arial" w:hAnsi="Arial"/>
                <w:sz w:val="18"/>
                <w:szCs w:val="18"/>
                <w:color w:val="auto"/>
              </w:rPr>
              <w:t>102,875</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gridSpan w:val="2"/>
            <w:vMerge w:val="restart"/>
          </w:tcPr>
          <w:p>
            <w:pPr>
              <w:jc w:val="right"/>
              <w:ind w:right="452"/>
              <w:spacing w:after="0"/>
              <w:rPr>
                <w:sz w:val="20"/>
                <w:szCs w:val="20"/>
                <w:color w:val="auto"/>
              </w:rPr>
            </w:pPr>
            <w:r>
              <w:rPr>
                <w:rFonts w:ascii="Arial" w:cs="Arial" w:eastAsia="Arial" w:hAnsi="Arial"/>
                <w:sz w:val="18"/>
                <w:szCs w:val="18"/>
                <w:color w:val="auto"/>
              </w:rPr>
              <w:t>66</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20" w:type="dxa"/>
            <w:vAlign w:val="bottom"/>
            <w:vMerge w:val="continue"/>
          </w:tcPr>
          <w:p>
            <w:pPr>
              <w:spacing w:after="0"/>
              <w:rPr>
                <w:sz w:val="24"/>
                <w:szCs w:val="24"/>
                <w:color w:val="auto"/>
              </w:rPr>
            </w:pPr>
          </w:p>
        </w:tc>
        <w:tc>
          <w:tcPr>
            <w:tcW w:w="632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6" w:right="239" w:bottom="1440" w:gutter="0" w:footer="0" w:header="0"/>
        </w:sectPr>
      </w:pPr>
    </w:p>
    <w:bookmarkStart w:id="67" w:name="page68"/>
    <w:bookmarkEnd w:id="67"/>
    <w:p>
      <w:pPr>
        <w:jc w:val="both"/>
        <w:ind w:firstLine="318"/>
        <w:spacing w:after="0" w:line="255" w:lineRule="auto"/>
        <w:rPr>
          <w:sz w:val="20"/>
          <w:szCs w:val="20"/>
          <w:color w:val="auto"/>
        </w:rPr>
      </w:pPr>
      <w:r>
        <w:rPr>
          <w:rFonts w:ascii="Arial" w:cs="Arial" w:eastAsia="Arial" w:hAnsi="Arial"/>
          <w:sz w:val="18"/>
          <w:szCs w:val="18"/>
          <w:color w:val="auto"/>
        </w:rPr>
        <w:t>Net increase (decrease) in net assets resulting from operations can vary substantially from period to period for various reasons, including the recognition of realized gains and losses and unrealized appreciation and depreciation on investments. As a result, annual comparisons of net increase in net assets resulting from operations may not be meaningful.</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Total investment income increased by $5.3 million, or 20.6%, to $31.1 million for the year ended December 31, 2018 as compared to the year ended December 31, 2017. For the year ended December 31, 2018, total investment income consisted primarily of $28.8 million in interest income from investments, which included $6.0 million in income from the accretion of origination fees and ETP, $2.0 million in fee income and $0.2 million in dividend income. Interest income on debt investments increased by $5.0 million, or 21.1%, to $28.8 million for the year ended December 31, 2018 as compared to the year ended December 31, 2017. Interest income on investments increased primarily due to an increase of $30.2 million, or 17.7%, in the average size of our debt investment portfolio and an increase in LIBOR which is the base rate for most of our variable rate debt investments for the year ended December 31, 2018 as compared to the year ended December 31, 2017. Fee income, which includes success fee and prepayment fee income on debt investments, remained flat at $2.0 million for the year ended December 31, 2018 compared to the year ended December 31, 2017.</w:t>
      </w:r>
    </w:p>
    <w:p>
      <w:pPr>
        <w:spacing w:after="0" w:line="18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Total investment income decreased by $7.2 million, or 21.8%, to $25.8 million for the year ended December 31, 2017 as compared to the year ended December 31, 2016. For the year ended December 31, 2017, total investment income consisted primarily of $23.8 million in interest income from investments, which included $5.8 million in income from the accretion of origination fees and ETPs and $2.0 million in fee income. Interest income on investments decreased by $7.6 million, or 24.3%, to $23.8 million for the year ended December 31, 2017 as compared to the year ended December 31, 2016. Interest income on investments decreased primarily due to a decrease of $50.6 million, or 22.9%, in the average size of our investment portfolio for the year ended December 31, 2017 as compared to the year ended December 31, 2016. Fee income, which includes success fee and prepayment fee income on debt investments, increased by $0.4 million, or 26.9%, primarily due to fees earned on higher principal prepayments received during the year ended December 31, 2017 compared to the year ended December 31, 2016.</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dollar-weighted annualized yield for the years ended December 31, 2018 and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For the years ended</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6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7"/>
              </w:rPr>
              <w:t>December 31,</w:t>
            </w:r>
          </w:p>
        </w:tc>
        <w:tc>
          <w:tcPr>
            <w:tcW w:w="12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0"/>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type:</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2017</w:t>
            </w: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19"/>
                <w:szCs w:val="19"/>
                <w:color w:val="auto"/>
              </w:rPr>
            </w:pPr>
          </w:p>
        </w:tc>
      </w:tr>
      <w:tr>
        <w:trPr>
          <w:trHeight w:val="245"/>
        </w:trPr>
        <w:tc>
          <w:tcPr>
            <w:tcW w:w="6880" w:type="dxa"/>
            <w:vAlign w:val="bottom"/>
            <w:shd w:val="clear" w:color="auto" w:fill="CCEEFF"/>
          </w:tcPr>
          <w:p>
            <w:pPr>
              <w:spacing w:after="0" w:line="245" w:lineRule="exact"/>
              <w:rPr>
                <w:sz w:val="20"/>
                <w:szCs w:val="20"/>
                <w:color w:val="auto"/>
              </w:rPr>
            </w:pPr>
            <w:r>
              <w:rPr>
                <w:rFonts w:ascii="Arial" w:cs="Arial" w:eastAsia="Arial" w:hAnsi="Arial"/>
                <w:sz w:val="17"/>
                <w:szCs w:val="17"/>
                <w:color w:val="auto"/>
              </w:rPr>
              <w:t>Debt investments</w:t>
            </w:r>
            <w:r>
              <w:rPr>
                <w:rFonts w:ascii="Arial" w:cs="Arial" w:eastAsia="Arial" w:hAnsi="Arial"/>
                <w:sz w:val="28"/>
                <w:szCs w:val="28"/>
                <w:color w:val="auto"/>
                <w:vertAlign w:val="superscript"/>
              </w:rPr>
              <w:t>(1)(2)</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52"/>
        </w:trPr>
        <w:tc>
          <w:tcPr>
            <w:tcW w:w="7000" w:type="dxa"/>
            <w:vAlign w:val="bottom"/>
            <w:gridSpan w:val="2"/>
          </w:tcPr>
          <w:p>
            <w:pPr>
              <w:spacing w:after="0" w:line="252" w:lineRule="exact"/>
              <w:rPr>
                <w:sz w:val="20"/>
                <w:szCs w:val="20"/>
                <w:color w:val="auto"/>
              </w:rPr>
            </w:pPr>
            <w:r>
              <w:rPr>
                <w:rFonts w:ascii="Arial" w:cs="Arial" w:eastAsia="Arial" w:hAnsi="Arial"/>
                <w:sz w:val="18"/>
                <w:szCs w:val="18"/>
                <w:color w:val="auto"/>
              </w:rPr>
              <w:t>Debt investments and equity investment in HSLFI</w:t>
            </w:r>
            <w:r>
              <w:rPr>
                <w:rFonts w:ascii="Arial" w:cs="Arial" w:eastAsia="Arial" w:hAnsi="Arial"/>
                <w:sz w:val="29"/>
                <w:szCs w:val="29"/>
                <w:color w:val="auto"/>
                <w:vertAlign w:val="superscript"/>
              </w:rPr>
              <w:t>(1)(3)(4)</w:t>
            </w:r>
          </w:p>
        </w:tc>
        <w:tc>
          <w:tcPr>
            <w:tcW w:w="1500" w:type="dxa"/>
            <w:vAlign w:val="bottom"/>
            <w:gridSpan w:val="2"/>
          </w:tcPr>
          <w:p>
            <w:pPr>
              <w:jc w:val="right"/>
              <w:ind w:right="32"/>
              <w:spacing w:after="0"/>
              <w:rPr>
                <w:sz w:val="20"/>
                <w:szCs w:val="20"/>
                <w:color w:val="auto"/>
              </w:rPr>
            </w:pPr>
            <w:r>
              <w:rPr>
                <w:rFonts w:ascii="Arial" w:cs="Arial" w:eastAsia="Arial" w:hAnsi="Arial"/>
                <w:sz w:val="18"/>
                <w:szCs w:val="18"/>
                <w:color w:val="auto"/>
              </w:rPr>
              <w:t>15.2%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14.9%</w:t>
            </w:r>
          </w:p>
        </w:tc>
      </w:tr>
      <w:tr>
        <w:trPr>
          <w:trHeight w:val="252"/>
        </w:trPr>
        <w:tc>
          <w:tcPr>
            <w:tcW w:w="7000" w:type="dxa"/>
            <w:vAlign w:val="bottom"/>
            <w:gridSpan w:val="2"/>
            <w:shd w:val="clear" w:color="auto" w:fill="CCEEFF"/>
          </w:tcPr>
          <w:p>
            <w:pPr>
              <w:spacing w:after="0" w:line="252" w:lineRule="exact"/>
              <w:rPr>
                <w:sz w:val="20"/>
                <w:szCs w:val="20"/>
                <w:color w:val="auto"/>
              </w:rPr>
            </w:pPr>
            <w:r>
              <w:rPr>
                <w:rFonts w:ascii="Arial" w:cs="Arial" w:eastAsia="Arial" w:hAnsi="Arial"/>
                <w:sz w:val="18"/>
                <w:szCs w:val="18"/>
                <w:color w:val="auto"/>
              </w:rPr>
              <w:t>Equity investment in HSLFI</w:t>
            </w:r>
            <w:r>
              <w:rPr>
                <w:rFonts w:ascii="Arial" w:cs="Arial" w:eastAsia="Arial" w:hAnsi="Arial"/>
                <w:sz w:val="29"/>
                <w:szCs w:val="29"/>
                <w:color w:val="auto"/>
                <w:vertAlign w:val="superscript"/>
              </w:rPr>
              <w:t>(1)(4)(5)</w:t>
            </w:r>
          </w:p>
        </w:tc>
        <w:tc>
          <w:tcPr>
            <w:tcW w:w="15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84"/>
        </w:trPr>
        <w:tc>
          <w:tcPr>
            <w:tcW w:w="7000" w:type="dxa"/>
            <w:vAlign w:val="bottom"/>
            <w:gridSpan w:val="2"/>
          </w:tcPr>
          <w:p>
            <w:pPr>
              <w:spacing w:after="0"/>
              <w:rPr>
                <w:sz w:val="20"/>
                <w:szCs w:val="20"/>
                <w:color w:val="auto"/>
              </w:rPr>
            </w:pPr>
            <w:r>
              <w:rPr>
                <w:rFonts w:ascii="Arial" w:cs="Arial" w:eastAsia="Arial" w:hAnsi="Arial"/>
                <w:sz w:val="18"/>
                <w:szCs w:val="18"/>
                <w:color w:val="auto"/>
              </w:rPr>
              <w:t>All investments</w:t>
            </w:r>
            <w:r>
              <w:rPr>
                <w:rFonts w:ascii="Arial" w:cs="Arial" w:eastAsia="Arial" w:hAnsi="Arial"/>
                <w:sz w:val="29"/>
                <w:szCs w:val="29"/>
                <w:color w:val="auto"/>
                <w:vertAlign w:val="superscript"/>
              </w:rPr>
              <w:t>(1)(6)</w:t>
            </w:r>
          </w:p>
        </w:tc>
        <w:tc>
          <w:tcPr>
            <w:tcW w:w="1500" w:type="dxa"/>
            <w:vAlign w:val="bottom"/>
            <w:gridSpan w:val="2"/>
          </w:tcPr>
          <w:p>
            <w:pPr>
              <w:jc w:val="right"/>
              <w:ind w:right="32"/>
              <w:spacing w:after="0"/>
              <w:rPr>
                <w:sz w:val="20"/>
                <w:szCs w:val="20"/>
                <w:color w:val="auto"/>
              </w:rPr>
            </w:pPr>
            <w:r>
              <w:rPr>
                <w:rFonts w:ascii="Arial" w:cs="Arial" w:eastAsia="Arial" w:hAnsi="Arial"/>
                <w:sz w:val="18"/>
                <w:szCs w:val="18"/>
                <w:color w:val="auto"/>
              </w:rPr>
              <w:t>13.9%</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10858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85850" cy="8255"/>
                    </a:xfrm>
                    <a:prstGeom prst="rect">
                      <a:avLst/>
                    </a:prstGeom>
                    <a:noFill/>
                  </pic:spPr>
                </pic:pic>
              </a:graphicData>
            </a:graphic>
          </wp:anchor>
        </w:drawing>
      </w:r>
    </w:p>
    <w:p>
      <w:pPr>
        <w:spacing w:after="0" w:line="180" w:lineRule="exact"/>
        <w:rPr>
          <w:sz w:val="20"/>
          <w:szCs w:val="20"/>
          <w:color w:val="auto"/>
        </w:rPr>
      </w:pPr>
    </w:p>
    <w:p>
      <w:pPr>
        <w:jc w:val="both"/>
        <w:ind w:left="320" w:hanging="314"/>
        <w:spacing w:after="0" w:line="271" w:lineRule="auto"/>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calculate the dollar-weighted annualized yield on average investment type for any period as (1) total related investment income during the period divided by (2) the average of the fair value of the investment type outstanding on (a) the last day of the calendar month immediately preceding the first day of the period and (b) the last day of each calendar month during the period. The dollar-weighted annualized yield on average investment type is higher than what investors will realize because it does not reflect our expenses or any sales load paid by investors</w:t>
      </w:r>
    </w:p>
    <w:p>
      <w:pPr>
        <w:spacing w:after="0" w:line="177" w:lineRule="exact"/>
        <w:rPr>
          <w:rFonts w:ascii="Arial" w:cs="Arial" w:eastAsia="Arial" w:hAnsi="Arial"/>
          <w:sz w:val="17"/>
          <w:szCs w:val="17"/>
          <w:color w:val="auto"/>
        </w:rPr>
      </w:pPr>
    </w:p>
    <w:p>
      <w:pPr>
        <w:ind w:left="320" w:hanging="314"/>
        <w:spacing w:after="0" w:line="265"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Excludes any yield from warrants, equity, other investments and equity investment in HSLFI. Related investment income includes interest income and fee income from debt investments.</w:t>
      </w:r>
    </w:p>
    <w:p>
      <w:pPr>
        <w:spacing w:after="0" w:line="179" w:lineRule="exact"/>
        <w:rPr>
          <w:rFonts w:ascii="Arial" w:cs="Arial" w:eastAsia="Arial" w:hAnsi="Arial"/>
          <w:sz w:val="18"/>
          <w:szCs w:val="18"/>
          <w:color w:val="auto"/>
        </w:rPr>
      </w:pPr>
    </w:p>
    <w:p>
      <w:pPr>
        <w:ind w:left="320" w:right="20" w:hanging="314"/>
        <w:spacing w:after="0" w:line="265"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Excludes any yield from warrants, equity and other investments. Related investment income includes interest income and fee income from debt investments and dividend income from equity investment in HSLFI.</w:t>
      </w:r>
    </w:p>
    <w:p>
      <w:pPr>
        <w:spacing w:after="0" w:line="179" w:lineRule="exact"/>
        <w:rPr>
          <w:rFonts w:ascii="Arial" w:cs="Arial" w:eastAsia="Arial" w:hAnsi="Arial"/>
          <w:sz w:val="18"/>
          <w:szCs w:val="18"/>
          <w:color w:val="auto"/>
        </w:rPr>
      </w:pPr>
    </w:p>
    <w:p>
      <w:pPr>
        <w:ind w:left="320" w:hanging="314"/>
        <w:spacing w:after="0"/>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HSLFI was formed on June 1, 2018. There was no yield from equity investment in HSLFI for the years ended December 31, 2017 and 2016.</w:t>
      </w:r>
    </w:p>
    <w:p>
      <w:pPr>
        <w:spacing w:after="0" w:line="228" w:lineRule="exact"/>
        <w:rPr>
          <w:rFonts w:ascii="Arial" w:cs="Arial" w:eastAsia="Arial" w:hAnsi="Arial"/>
          <w:sz w:val="17"/>
          <w:szCs w:val="17"/>
          <w:color w:val="auto"/>
        </w:rPr>
      </w:pPr>
    </w:p>
    <w:p>
      <w:pPr>
        <w:ind w:left="320" w:hanging="314"/>
        <w:spacing w:after="0" w:line="265"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Excludes any yield from debt investments, warrants, equity and other investments. Related investment income includes dividend income from equity investment in HSLFI.</w:t>
      </w:r>
    </w:p>
    <w:p>
      <w:pPr>
        <w:spacing w:after="0" w:line="179" w:lineRule="exact"/>
        <w:rPr>
          <w:rFonts w:ascii="Arial" w:cs="Arial" w:eastAsia="Arial" w:hAnsi="Arial"/>
          <w:sz w:val="18"/>
          <w:szCs w:val="18"/>
          <w:color w:val="auto"/>
        </w:rPr>
      </w:pPr>
    </w:p>
    <w:p>
      <w:pPr>
        <w:ind w:left="320" w:hanging="314"/>
        <w:spacing w:after="0" w:line="265"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any yield from debt investments, warrants, equity, other investments and equity investment in HSFLI. Related investment income includes interest income, fee income and dividend income.</w:t>
      </w:r>
    </w:p>
    <w:p>
      <w:pPr>
        <w:spacing w:after="0" w:line="1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Investment income, consisting of interest income and fees on debt investments, can fluctuate significantly upon repayment of large debt investments. Interest income from the five largest debt investments in the aggregate accounted for 25%, 14% and 17% of investment income for the years ended December 31, 2018, 2017 and 2016, respectively.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68" w:name="page69"/>
    <w:bookmarkEnd w:id="68"/>
    <w:p>
      <w:pPr>
        <w:ind w:left="140"/>
        <w:spacing w:after="0"/>
        <w:rPr>
          <w:sz w:val="20"/>
          <w:szCs w:val="20"/>
          <w:color w:val="auto"/>
        </w:rPr>
      </w:pPr>
      <w:r>
        <w:rPr>
          <w:rFonts w:ascii="Arial" w:cs="Arial" w:eastAsia="Arial" w:hAnsi="Arial"/>
          <w:sz w:val="18"/>
          <w:szCs w:val="18"/>
          <w:b w:val="1"/>
          <w:bCs w:val="1"/>
          <w:i w:val="1"/>
          <w:iCs w:val="1"/>
          <w:color w:val="auto"/>
        </w:rPr>
        <w:t>Expenses</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Total net expenses increased by $3.7 million, or 27.8%, to $17.2 million for the year ended December 31, 2018 as compared to the year ended December 31, 2017. Total net expenses decreased by $2.5 million, or 15.8%, to $13.5 million for the year ended December 31, 2017 as compared to the year ended December 31, 2016. Total expenses for each period consisted of interest expense, base management fee, incentive and administrative fees, professional fees and general and administrative expenses.</w:t>
      </w:r>
    </w:p>
    <w:p>
      <w:pPr>
        <w:spacing w:after="0" w:line="191"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Interest expense increased by $1.2 million, or 23.1%, to $6.4 million for the year ended December 1, 2018 as compared to the year ended December 31, 2017. Interest expense, which includes the amortization of debt issuance costs, increased primarily due to an increase in average borrowings of $23.5 million, or 30.9%, which was partially offset by the acceleration of $0.2 million of unamortized debt issuance costs related to the redemption of the 2019 Notes. Interest expense decreased by $0.7 million, or 12.1%, to $5.2 million for the year ended December 31, 2017 as compared to the year ended December 31, 2016. Interest expense, which includes the amortization of debt issuance costs, decreased primarily due to a decrease in average borrowings of $26.9 million, or 26.2%, which was partially offset by the acceleration of $0.2 million of unamortized debt issuance costs related to the redemption of the 2019 Notes and an increase in our effective cost of debt for the year ended December 31, 2017 as compared to the year ended December 31, 2016.</w:t>
      </w:r>
    </w:p>
    <w:p>
      <w:pPr>
        <w:spacing w:after="0" w:line="153"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Base management fee expense increased by $0.8 million, or 20.9%, to $4.6 million for the year ended December 31, 2018 as compared to the year ended December 31, 2017 primarily due to an increase of $30.2 million, or 17.7%, in the average size of our investment portfolio for the year ended December 31, 2018 as compared to the year ended December 31, 2017. Base management fee expense decreased by $0.9 million, or 19.9%, to $3.8 million for the year ended December 31, 2017 as compared to the year ended December 31, 2016 primarily due to a decrease of $50.6 million, or 22.9%, in the average size of our investment portfolio for the year ended December 31, 2017 as compared to the year ended December 31, 2016.</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March 6, 2018, our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will not be subject to recoupment. During the year ended December 31, 2018, our Advisor waived performance based incentive fees of $1.2 million which our Advisor would have otherwise earned. This resulted in $1.2 million of reduced expense and additional net investment income for the year ended December 31, 2018.</w:t>
      </w:r>
    </w:p>
    <w:p>
      <w:pPr>
        <w:spacing w:after="0" w:line="19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Performance based incentive fee expense, net of waiver, increased by $1.6 million, or 96.3%, to $3.2 million for the year ended December 31, 2018 as compared to the year ended December 31, 2017. This increase was due to (i) an increase of $3.1 million, or 22.6%, to $17.1 million in Pre-Incentive Fee Net Investment Income for the year ended December 31, 2018 as compared to the year ended December 31, 2017 and (ii) an increase in the Incentive Fee Cap calculated based on the incentive fee cap and deferral mechanism in our Investment Management Agreement. The incentive fee on pre-incentive fee net investment income was subject to the Incentive Fee Cap for the year ended December 31, 2018 due to the cumulative incentive fees paid exceeding 20% of cumulative pre-incentive fee net return during the applicable quarter and the 11 preceding full calendar quarters. Performance based incentive fee expense, net of waivers, decreased by $0.5 million, or 23.1%, to $1.6 million for the year ended December 31, 2017 as compared to the year ended December 31, 2016 due to a decrease of $5.3 million, or 27.5%, to $13.9 million in Pre-Incentive Fee Net Investment Income for the year ended December 31, 2017 as compared to the year ended December 31, 2016. The Incentive Fee Cap and Deferral Mechanism resulted in $1.1 million of reduced incentive fee expense and thus increased net investment income for the year ended December 31, 2017. The incentive fee on Pre-Incentive Fee Net Investment Income was subject to the Incentive Fee Cap for the year ended December 31, 2017 due to the cumulative incentive fees paid exceeding 20% of cumulative pre-incentive fee net return during the applicable quarter and the 11 preceding full calendar quarters.</w:t>
      </w:r>
    </w:p>
    <w:p>
      <w:pPr>
        <w:spacing w:after="0" w:line="37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2018 and 2017, we elected to carry forward taxable income in excess of current year distributions into the next tax year and pay a 4% excise tax on such income. For the years ended December 31, 2018 and 2017, we elected to carry forward taxable income in excess of current year distributions of $1.3 million and $1.0 million, respectively. At December 31, 2018 and 2017, excise tax payable of $0.03 million was recorded.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69" w:name="page70"/>
    <w:bookmarkEnd w:id="69"/>
    <w:p>
      <w:pPr>
        <w:jc w:val="both"/>
        <w:ind w:firstLine="318"/>
        <w:spacing w:after="0" w:line="265" w:lineRule="auto"/>
        <w:rPr>
          <w:sz w:val="20"/>
          <w:szCs w:val="20"/>
          <w:color w:val="auto"/>
        </w:rPr>
      </w:pPr>
      <w:r>
        <w:rPr>
          <w:rFonts w:ascii="Arial" w:cs="Arial" w:eastAsia="Arial" w:hAnsi="Arial"/>
          <w:sz w:val="18"/>
          <w:szCs w:val="18"/>
          <w:color w:val="auto"/>
        </w:rPr>
        <w:t>Administrative fee expense, professional fees and general and administrative expenses were $3.0 million, $2.9 million and $3.2 million for the years ended December 31, 2018, 2017 and 2016, respectively.</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9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During the year ended December 31, 2018, we realized net gains totaling $0.6 million primarily due to gains realized on the sale of equity received upon the exercise of warrants. During the year ended December 31, 2017, we realized net losses totaling $21.2 million primarily due to the resolution of four debt investments partially offset by realized gains on the sale of equity received upon the exercise of warrants. One debt investment was settled, which resulted in a realized loss of $5.8 million and unrealized appreciation of $5.8 million. One debt investment was settled for net cash proceeds of $1.3 million, which resulted in a realized loss of $3.0 million and unrealized appreciation of $2.8 million. Two debt investments were settled for a royalty and sale agreements collectively fair valued at $7.5 million, which resulted in a realized loss of $12.4 million and unrealized appreciation of $11.8 million. During the year ended December 31, 2016, we realized net losses totaling $7.8 million primarily due to the resolution of three debt investments. One debt investment was settled for net cash proceeds of $3.6 million, which resulted in a realized loss of $4.5 million and unrealized appreciation of $4.6 million. One debt investment was settled for net cash proceeds of $0.2 million and a royalty and sale agreement fair valued at $0.4 million, which resulted in a realized loss of $2.2 million and unrealized appreciation of $2.2 million. One debt investment was settled for cash proceeds which resulted in a realized loss of $0.9 million and unrealized appreciation of $0.7 million.</w:t>
      </w:r>
    </w:p>
    <w:p>
      <w:pPr>
        <w:spacing w:after="0" w:line="15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During the year ended December 31, 2018, net unrealized depreciation on investments totaled $1.5 million which was primarily due to the unrealized depreciation on our warrant and equity investments in public companies. During the year ended December 31, 2017, net unrealized appreciation on investments totaled $18.5 million which was primarily due to the reversal of previously recorded unrealized depreciation on four debt investments that were settled during the period. During the year ended December 31, 2016, net unrealized depreciation on investments totaled $14.2 million which was primarily due to the unrealized depreciation on three debt investments offset by the reversal of previously recorded unrealized depreciation on one debt investment.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2018 and 2017, we had cash of $12.6 million and $6.6 million, respectively. Cash is available to fund new investments, reduce borrowings, pay expenses, repurchase common stock and pay distributions. Our primary sources of capital have been from our public and private equity offerings, use of our revolving credit facilities, issuance of our public debt offerings.</w:t>
      </w:r>
    </w:p>
    <w:p>
      <w:pPr>
        <w:spacing w:after="0" w:line="18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April 27, 2018, our Board extended a previously authorized stock repurchase program which allows us to repurchase up to $5.0 million of our common stock at prices below our NAV per share as reported in our most recent consolidated financial statements. Under the repurchase program, we may, but are not obligated to, repurchase shares of our outstanding common stock in the open market or in privately negotiated transactions from time to time. Any repurchases by us will comply with the requirements of Rule 10b-18 under the Exchange Act and any applicable requirements of the 1940 Act. Unless extended by our Board, the repurchase program will terminate on the earlier of June 30, 2019 or the repurchase of $5.0 million of our common stock. During the year ended December 31, 2018, we did not repurchase any shares of our common stock. During the year ended December 31, 2017, we repurchased 5,923 shares of our common stock at an average price of $9.97 on the open market at a total cost of $0.1 million. During the year ended December 31, 2016, we repurchased 48,160 shares of our common stock at an average price of $10.66 on the open market for a total cost of $0.5 million. From the inception of the stock repurchase program through December 31, 2018, we repurchased 167,465 shares of our common stock at an average price of $11.22 on the open market at a total cost of $1.9 million.</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December 31, 2018 and 2017, the outstanding principal balance under the Key Facility was $90.5 million and $58.0 million, respectively. As of December 31, 2018 and 2017, we had borrowing capacity under the Key Facility of $34.5 million and $37.0 million, respectively. At December 31, 2018 and 2017, $0.9 million and $23.6 million, respectively, was available, subject to existing terms and advance rates.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70" w:name="page71"/>
    <w:bookmarkEnd w:id="70"/>
    <w:p>
      <w:pPr>
        <w:jc w:val="both"/>
        <w:ind w:firstLine="318"/>
        <w:spacing w:after="0" w:line="252" w:lineRule="auto"/>
        <w:rPr>
          <w:sz w:val="20"/>
          <w:szCs w:val="20"/>
          <w:color w:val="auto"/>
        </w:rPr>
      </w:pPr>
      <w:r>
        <w:rPr>
          <w:rFonts w:ascii="Arial" w:cs="Arial" w:eastAsia="Arial" w:hAnsi="Arial"/>
          <w:sz w:val="18"/>
          <w:szCs w:val="18"/>
          <w:color w:val="auto"/>
        </w:rPr>
        <w:t>Our operating activities used cash of $12.1 million for the year ended December 31, 2018, and our financing activities provided cash of $18.1 million for the same period. Our operating activities used cash primarily for investments made in portfolio companies and HSLFI, partially offset by principal payments received on our debt investments. Our financing activities provided cash primarily from advances on our Key Facility partially offset by repayment of our Key Facility and payment of distributions to our stockholders.</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operating activities used cash of $14.8 million for the year ended December 31, 2017, and our financing activities used cash of $15.7 million for the same period. Our operating activities used cash primarily for investments made in portfolio companies, partially offset by principal payments received on our debt investments. Our financing activities used cash primarily to redeem the 2019 Notes, pay down the Key Facility and pay distributions to our stockholders, partially offset by the issuance of the 2022 Notes.</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operating activities provided cash of $52.3 million for the year ended December 31, 2016, and our financing activities used cash of $35.9 million for the same period. Our operating activities provided cash primarily from principal payments received on our debt investments, partially offset by investments made in portfolio companies. Our financing activities used cash primarily to pay off our Asset-Backed Notes and pay distributions to our stockholders.</w:t>
      </w:r>
    </w:p>
    <w:p>
      <w:pPr>
        <w:spacing w:after="0" w:line="137" w:lineRule="exact"/>
        <w:rPr>
          <w:sz w:val="20"/>
          <w:szCs w:val="20"/>
          <w:color w:val="auto"/>
        </w:rPr>
      </w:pPr>
    </w:p>
    <w:p>
      <w:pPr>
        <w:jc w:val="both"/>
        <w:ind w:firstLine="318"/>
        <w:spacing w:after="0" w:line="366" w:lineRule="auto"/>
        <w:rPr>
          <w:sz w:val="20"/>
          <w:szCs w:val="20"/>
          <w:color w:val="auto"/>
        </w:rPr>
      </w:pPr>
      <w:r>
        <w:rPr>
          <w:rFonts w:ascii="Arial" w:cs="Arial" w:eastAsia="Arial" w:hAnsi="Arial"/>
          <w:sz w:val="15"/>
          <w:szCs w:val="15"/>
          <w:color w:val="auto"/>
        </w:rPr>
        <w:t>Our primary use of available funds is to make debt investments in portfolio companies and for general corporate purposes. We expect to raise additional equity and debt capital opportunistically as needed, and subject to market conditions, to support our future growth to the extent permitted by the 1940 Act.</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order to remain subject to taxation as a RIC, we intend to distribute to our stockholders all or substantially all of our investment company taxable income.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a BDC, we are required to maintain asset coverage of at least 150%. This requirement limits the amount that we may borrow.</w:t>
      </w:r>
    </w:p>
    <w:p>
      <w:pPr>
        <w:spacing w:after="0" w:line="20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We believe that our current cash, cash generated from operations, and funds available from our Key Facility will be sufficient to meet our working capital and capital expenditure commitments for at least the next 12 months.</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Current borrowings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borrowings as of December 31, 2018 and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December 31, 2018</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7"/>
              </w:rPr>
              <w:t>December 31, 2017</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52"/>
              <w:spacing w:after="0" w:line="189" w:lineRule="exact"/>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86"/>
              </w:rPr>
              <w:t>Balance</w:t>
            </w:r>
          </w:p>
        </w:tc>
        <w:tc>
          <w:tcPr>
            <w:tcW w:w="180" w:type="dxa"/>
            <w:vAlign w:val="bottom"/>
          </w:tcPr>
          <w:p>
            <w:pPr>
              <w:spacing w:after="0"/>
              <w:rPr>
                <w:sz w:val="16"/>
                <w:szCs w:val="16"/>
                <w:color w:val="auto"/>
              </w:rPr>
            </w:pPr>
          </w:p>
        </w:tc>
        <w:tc>
          <w:tcPr>
            <w:tcW w:w="980" w:type="dxa"/>
            <w:vAlign w:val="bottom"/>
          </w:tcPr>
          <w:p>
            <w:pPr>
              <w:jc w:val="right"/>
              <w:ind w:right="212"/>
              <w:spacing w:after="0" w:line="189" w:lineRule="exact"/>
              <w:rPr>
                <w:sz w:val="20"/>
                <w:szCs w:val="20"/>
                <w:color w:val="auto"/>
              </w:rPr>
            </w:pPr>
            <w:r>
              <w:rPr>
                <w:rFonts w:ascii="Arial" w:cs="Arial" w:eastAsia="Arial" w:hAnsi="Arial"/>
                <w:sz w:val="18"/>
                <w:szCs w:val="18"/>
                <w:b w:val="1"/>
                <w:bCs w:val="1"/>
                <w:color w:val="auto"/>
                <w:w w:val="99"/>
              </w:rPr>
              <w:t>Unused</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12"/>
              <w:spacing w:after="0" w:line="189" w:lineRule="exact"/>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86"/>
              </w:rPr>
              <w:t>Balance</w:t>
            </w:r>
          </w:p>
        </w:tc>
        <w:tc>
          <w:tcPr>
            <w:tcW w:w="200" w:type="dxa"/>
            <w:vAlign w:val="bottom"/>
          </w:tcPr>
          <w:p>
            <w:pPr>
              <w:spacing w:after="0"/>
              <w:rPr>
                <w:sz w:val="16"/>
                <w:szCs w:val="16"/>
                <w:color w:val="auto"/>
              </w:rPr>
            </w:pPr>
          </w:p>
        </w:tc>
        <w:tc>
          <w:tcPr>
            <w:tcW w:w="940" w:type="dxa"/>
            <w:vAlign w:val="bottom"/>
          </w:tcPr>
          <w:p>
            <w:pPr>
              <w:jc w:val="right"/>
              <w:ind w:right="192"/>
              <w:spacing w:after="0" w:line="189" w:lineRule="exact"/>
              <w:rPr>
                <w:sz w:val="20"/>
                <w:szCs w:val="20"/>
                <w:color w:val="auto"/>
              </w:rPr>
            </w:pPr>
            <w:r>
              <w:rPr>
                <w:rFonts w:ascii="Arial" w:cs="Arial" w:eastAsia="Arial" w:hAnsi="Arial"/>
                <w:sz w:val="18"/>
                <w:szCs w:val="18"/>
                <w:b w:val="1"/>
                <w:bCs w:val="1"/>
                <w:color w:val="auto"/>
                <w:w w:val="96"/>
              </w:rPr>
              <w:t>Unused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w w:val="96"/>
              </w:rPr>
              <w:t>Commitment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Outstanding</w:t>
            </w: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Commitment</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Commitment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Outstanding</w:t>
            </w: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Commitment</w:t>
            </w:r>
          </w:p>
        </w:tc>
        <w:tc>
          <w:tcPr>
            <w:tcW w:w="0" w:type="dxa"/>
            <w:vAlign w:val="bottom"/>
          </w:tcPr>
          <w:p>
            <w:pPr>
              <w:spacing w:after="0"/>
              <w:rPr>
                <w:sz w:val="1"/>
                <w:szCs w:val="1"/>
                <w:color w:val="auto"/>
              </w:rPr>
            </w:pPr>
          </w:p>
        </w:tc>
      </w:tr>
      <w:tr>
        <w:trPr>
          <w:trHeight w:val="206"/>
        </w:trPr>
        <w:tc>
          <w:tcPr>
            <w:tcW w:w="3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4"/>
          </w:tcPr>
          <w:p>
            <w:pPr>
              <w:jc w:val="right"/>
              <w:ind w:right="652"/>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3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90,500</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34,500</w:t>
            </w: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58,000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24"/>
        </w:trPr>
        <w:tc>
          <w:tcPr>
            <w:tcW w:w="3260" w:type="dxa"/>
            <w:vAlign w:val="bottom"/>
          </w:tcPr>
          <w:p>
            <w:pPr>
              <w:spacing w:after="0"/>
              <w:rPr>
                <w:sz w:val="20"/>
                <w:szCs w:val="20"/>
                <w:color w:val="auto"/>
              </w:rPr>
            </w:pPr>
            <w:r>
              <w:rPr>
                <w:rFonts w:ascii="Arial" w:cs="Arial" w:eastAsia="Arial" w:hAnsi="Arial"/>
                <w:sz w:val="18"/>
                <w:szCs w:val="18"/>
                <w:color w:val="auto"/>
              </w:rPr>
              <w:t>2022 Notes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37,375</w:t>
            </w: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37,375</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326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Total before debt issuance costs</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162,375</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127,875</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132,375</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95,375</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260" w:type="dxa"/>
            <w:vAlign w:val="bottom"/>
          </w:tcPr>
          <w:p>
            <w:pPr>
              <w:spacing w:after="0" w:line="180" w:lineRule="exact"/>
              <w:rPr>
                <w:sz w:val="20"/>
                <w:szCs w:val="20"/>
                <w:color w:val="auto"/>
              </w:rPr>
            </w:pPr>
            <w:r>
              <w:rPr>
                <w:rFonts w:ascii="Arial" w:cs="Arial" w:eastAsia="Arial" w:hAnsi="Arial"/>
                <w:sz w:val="18"/>
                <w:szCs w:val="18"/>
                <w:color w:val="auto"/>
                <w:w w:val="90"/>
              </w:rPr>
              <w:t>Unamortized debt issuance costs attributable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r>
              <w:rPr>
                <w:rFonts w:ascii="Arial" w:cs="Arial" w:eastAsia="Arial" w:hAnsi="Arial"/>
                <w:sz w:val="18"/>
                <w:szCs w:val="18"/>
                <w:color w:val="auto"/>
              </w:rPr>
              <w:t>to term borrowings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(1,022)</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borrowings outstanding, net</w:t>
            </w: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260" w:type="dxa"/>
            <w:vAlign w:val="bottom"/>
            <w:vMerge w:val="continue"/>
            <w:shd w:val="clear" w:color="auto" w:fill="CCEEFF"/>
          </w:tcPr>
          <w:p>
            <w:pPr>
              <w:spacing w:after="0"/>
              <w:rPr>
                <w:sz w:val="19"/>
                <w:szCs w:val="19"/>
                <w:color w:val="auto"/>
              </w:rPr>
            </w:pPr>
          </w:p>
        </w:tc>
        <w:tc>
          <w:tcPr>
            <w:tcW w:w="3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126,853</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34,500</w:t>
            </w: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94,075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entered into the Key Facility effective November 4, 2013. The interest rate on the Key Facility is based upon the one-month LIBOR plus a spread of 3.25%, with a LIBOR floor of 0.75%. The LIBOR rate was 2.50% and 1.56% as of December 31, 2018 and 2017, respectively. The interest rates in effect were</w:t>
      </w:r>
    </w:p>
    <w:p>
      <w:pPr>
        <w:jc w:val="both"/>
        <w:spacing w:after="0" w:line="251" w:lineRule="auto"/>
        <w:rPr>
          <w:sz w:val="20"/>
          <w:szCs w:val="20"/>
          <w:color w:val="auto"/>
        </w:rPr>
      </w:pPr>
      <w:r>
        <w:rPr>
          <w:rFonts w:ascii="Arial" w:cs="Arial" w:eastAsia="Arial" w:hAnsi="Arial"/>
          <w:sz w:val="18"/>
          <w:szCs w:val="18"/>
          <w:color w:val="auto"/>
        </w:rPr>
        <w:t>5.60% and 4.61% as of December 31, 2018 and 2017, respectively. The Key Facility requires the payment of an unused line fee in an amount equal to 0.50% of any unborrowed amount available under the facility annually.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71" w:name="page72"/>
    <w:bookmarkEnd w:id="71"/>
    <w:p>
      <w:pPr>
        <w:jc w:val="both"/>
        <w:ind w:firstLine="318"/>
        <w:spacing w:after="0" w:line="264" w:lineRule="auto"/>
        <w:rPr>
          <w:sz w:val="20"/>
          <w:szCs w:val="20"/>
          <w:color w:val="auto"/>
        </w:rPr>
      </w:pPr>
      <w:r>
        <w:rPr>
          <w:rFonts w:ascii="Arial" w:cs="Arial" w:eastAsia="Arial" w:hAnsi="Arial"/>
          <w:sz w:val="17"/>
          <w:szCs w:val="17"/>
          <w:color w:val="auto"/>
        </w:rPr>
        <w:t>The Key Facility has an accordion feature which allows for an increase in the total loan commitment to $150 million. On December 28, 2018, we amended the Key Facility, increasing the aggregate commitments under the Key Facility by $25 million to $125 million. The Key Facility is collateralized by debt investments held by Credit II and permits an advance rate of up to fifty percent (50%) of eligible debt investments held by Credit II. The Key Facility contains covenants that, among other things, require us to maintain a minimum net worth, to restrict the debt investments securing the Key Facility to certain criteria for qualified debt investments and to comply with portfolio company concentration limits as defined in the related loan agreement. The period during which we may request advances under the Key Facility, or the Revolving Period, extends through April 6, 2021. After the Revolving Period, we may not request new advances, and we must repay the outstanding advances under the Key Facility as of such date, at such times and in such amounts as are necessary to maintain compliance with the terms and conditions of the Key Facility, particularly the condition that the principal balance of the Key Facility not exceed fifty percent (50%) of the aggregate principal balance of our eligible debt investments to our portfolio companies. The maturity of the Key Facility, the date on which all outstanding advances under the Key Facility are due and payable is on April 6, 2023.</w:t>
      </w:r>
    </w:p>
    <w:p>
      <w:pPr>
        <w:spacing w:after="0" w:line="18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March 23, 2012, we issued and sold an aggregate principal amount of $30.0 million 2019 Notes, and on April 18, 2012, pursuant to the underwriters’ 30-day option to purchase additional notes, we sold an additional $3.0 million of the 2019 Notes. The 2019 Notes had a stated maturity of March 15, 2019 and were redeemable in whole or in part at our option at any time or from time to time at a redemption price of $25 per security plus accrued and unpaid interest. The 2019 Notes bore interest at a rate of 7.375% per year payable quarterly on March 15, June 15, September 15 and December 15 of each year. The 2019 Notes were our direct, unsecured obligations and (1) ranked equally in right of payment with our future unsecured indebtedness; (2) were senior in right of payment to any of our future indebtedness that expressly provided it was subordinated to the 2019 Notes; (3) were effectively subordinated to all of our existing and future secured indebtedness (including indebtedness that was initially unsecured to which we subsequently granted security), to the extent of the value of the assets securing such indebtedness and (4) were structurally subordinated to all existing and future indebtedness and other obligations of any of our subsidiaries. On October 30, 2017, or the Redemption Date, we redeemed all of the issued and outstanding 2019 Notes in an aggregate principal amount of $33.0 million and paid accrued interest of $0.3 million. The 2019 Notes were delisted effective on the Redemption Date.</w:t>
      </w:r>
    </w:p>
    <w:p>
      <w:pPr>
        <w:spacing w:after="0" w:line="156"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September 29, 2017, we issued and sold an aggregate principal amount of $32.5 million 2022 Notes, and on October 11, 2017, pursuant to the underwriters’ 30-day option to purchase additional notes, we sold an additional $4.9 million of the 2022 Notes. The 2022 Notes have a stated maturity of September 15, 2022 and may be redeemed in whole or in part at our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our direct, unsecured obligations and (1) rank equally in right of payment with our current and future unsecured indebtedness; (2) are senior in right of payment to any of our future indebtedness that expressly provides it is subordinated to the 2022 Notes; (3) are effectively subordinated to all of our existing and future secured indebtedness (including indebtedness that is initially unsecured to which we subsequently grant security), to the extent of the value of the assets securing such indebtedness and (4) are structurally subordinated to all existing and future indebtedness and other obligations of any of our subsidiaries. As of December, 31, 2018, we were in material compliance with the terms of the 2022 Notes. The 2022 Notes are listed on the New York Stock Exchange under the symbol “HTFA”.</w:t>
      </w:r>
    </w:p>
    <w:p>
      <w:pPr>
        <w:spacing w:after="0" w:line="37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assets</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As of December 31, 2018 and 2017, other assets were $1.8 million and $1.5 million, respectively, which is primarily comprised of debt issuance costs and prepaid expenses.</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Contractual obligations and off-balance sheet arrangements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significant contractual payment obligations and off-balance sheet arrangements as of December 31,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b w:val="1"/>
                <w:bCs w:val="1"/>
                <w:color w:val="auto"/>
              </w:rPr>
              <w:t>Payments due by period</w:t>
            </w: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460"/>
              <w:spacing w:after="0" w:line="189" w:lineRule="exact"/>
              <w:rPr>
                <w:sz w:val="20"/>
                <w:szCs w:val="20"/>
                <w:color w:val="auto"/>
              </w:rPr>
            </w:pPr>
            <w:r>
              <w:rPr>
                <w:rFonts w:ascii="Arial" w:cs="Arial" w:eastAsia="Arial" w:hAnsi="Arial"/>
                <w:sz w:val="18"/>
                <w:szCs w:val="18"/>
                <w:b w:val="1"/>
                <w:bCs w:val="1"/>
                <w:color w:val="auto"/>
                <w:w w:val="85"/>
              </w:rPr>
              <w:t>Less than</w:t>
            </w:r>
          </w:p>
        </w:tc>
        <w:tc>
          <w:tcPr>
            <w:tcW w:w="240" w:type="dxa"/>
            <w:vAlign w:val="bottom"/>
          </w:tcPr>
          <w:p>
            <w:pPr>
              <w:spacing w:after="0"/>
              <w:rPr>
                <w:sz w:val="16"/>
                <w:szCs w:val="16"/>
                <w:color w:val="auto"/>
              </w:rPr>
            </w:pPr>
          </w:p>
        </w:tc>
        <w:tc>
          <w:tcPr>
            <w:tcW w:w="110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89"/>
              </w:rPr>
              <w:t>1 – 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440"/>
              <w:spacing w:after="0" w:line="189" w:lineRule="exact"/>
              <w:rPr>
                <w:sz w:val="20"/>
                <w:szCs w:val="20"/>
                <w:color w:val="auto"/>
              </w:rPr>
            </w:pPr>
            <w:r>
              <w:rPr>
                <w:rFonts w:ascii="Arial" w:cs="Arial" w:eastAsia="Arial" w:hAnsi="Arial"/>
                <w:sz w:val="18"/>
                <w:szCs w:val="18"/>
                <w:b w:val="1"/>
                <w:bCs w:val="1"/>
                <w:color w:val="auto"/>
                <w:w w:val="89"/>
              </w:rPr>
              <w:t>3 – 5</w:t>
            </w:r>
          </w:p>
        </w:tc>
        <w:tc>
          <w:tcPr>
            <w:tcW w:w="240" w:type="dxa"/>
            <w:vAlign w:val="bottom"/>
          </w:tcPr>
          <w:p>
            <w:pPr>
              <w:spacing w:after="0"/>
              <w:rPr>
                <w:sz w:val="16"/>
                <w:szCs w:val="16"/>
                <w:color w:val="auto"/>
              </w:rPr>
            </w:pPr>
          </w:p>
        </w:tc>
        <w:tc>
          <w:tcPr>
            <w:tcW w:w="1020" w:type="dxa"/>
            <w:vAlign w:val="bottom"/>
          </w:tcPr>
          <w:p>
            <w:pPr>
              <w:jc w:val="center"/>
              <w:ind w:right="152"/>
              <w:spacing w:after="0" w:line="189" w:lineRule="exact"/>
              <w:rPr>
                <w:sz w:val="20"/>
                <w:szCs w:val="20"/>
                <w:color w:val="auto"/>
              </w:rPr>
            </w:pPr>
            <w:r>
              <w:rPr>
                <w:rFonts w:ascii="Arial" w:cs="Arial" w:eastAsia="Arial" w:hAnsi="Arial"/>
                <w:sz w:val="18"/>
                <w:szCs w:val="18"/>
                <w:b w:val="1"/>
                <w:bCs w:val="1"/>
                <w:color w:val="auto"/>
                <w:w w:val="94"/>
              </w:rPr>
              <w:t>After 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1 year</w:t>
            </w: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Years</w:t>
            </w:r>
          </w:p>
        </w:tc>
        <w:tc>
          <w:tcPr>
            <w:tcW w:w="24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years</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3"/>
          </w:tcPr>
          <w:p>
            <w:pPr>
              <w:ind w:left="20"/>
              <w:spacing w:after="0" w:line="206" w:lineRule="exact"/>
              <w:rPr>
                <w:sz w:val="20"/>
                <w:szCs w:val="20"/>
                <w:color w:val="auto"/>
              </w:rPr>
            </w:pPr>
            <w:r>
              <w:rPr>
                <w:rFonts w:ascii="Arial" w:cs="Arial" w:eastAsia="Arial" w:hAnsi="Arial"/>
                <w:sz w:val="18"/>
                <w:szCs w:val="18"/>
                <w:b w:val="1"/>
                <w:bCs w:val="1"/>
                <w:color w:val="auto"/>
              </w:rPr>
              <w:t>(In thousands)</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127,875</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12,674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66,681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48,520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Unfunded commitments</w:t>
            </w: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27,500</w:t>
            </w: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1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66,681</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48,520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4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9"/>
              </w:rPr>
              <w:t>71</w:t>
            </w: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6" w:right="239" w:bottom="1440" w:gutter="0" w:footer="0" w:header="0"/>
        </w:sectPr>
      </w:pPr>
    </w:p>
    <w:bookmarkStart w:id="72" w:name="page73"/>
    <w:bookmarkEnd w:id="72"/>
    <w:p>
      <w:pPr>
        <w:jc w:val="both"/>
        <w:ind w:firstLine="318"/>
        <w:spacing w:after="0" w:line="264" w:lineRule="auto"/>
        <w:rPr>
          <w:sz w:val="20"/>
          <w:szCs w:val="20"/>
          <w:color w:val="auto"/>
        </w:rPr>
      </w:pPr>
      <w:r>
        <w:rPr>
          <w:rFonts w:ascii="Arial" w:cs="Arial" w:eastAsia="Arial" w:hAnsi="Arial"/>
          <w:sz w:val="17"/>
          <w:szCs w:val="17"/>
          <w:color w:val="auto"/>
        </w:rPr>
        <w:t>In the normal course of business, we are party to financial instruments with off-balance sheet risk. These consist primarily of unfunded commitments to extend credit, in the form of loans, to our portfolio companies. Unfunded commitments to provide funds to portfolio companies are not reflected on our balance sheet. Our unfunded commitments may be significant from time to time. As of December 31, 2018, we had such unfunded commitments of $27.5 million. These commitments are subject to the same underwriting and ongoing portfolio maintenance requirements as are the financial instruments that we hold on our balance sheet. In addition, these commitments are often subject to financial or non-financial milestones and other conditions to borrowing that must be achieved before the commitment can be drawn. Since these commitments may expire without being drawn upon, the total commitment amount does not necessarily represent future cash requirements. We regularly monitor our unfunded commitments and anticipated refinancings, maturities and capital raising, to ensure that we have sufficient liquidity to fund such unfunded commitments. As of December 31, 2018, we reasonably believed that our assets would provide adequate financial resources to satisfy all of our unfunded commitments.</w:t>
      </w:r>
    </w:p>
    <w:p>
      <w:pPr>
        <w:spacing w:after="0" w:line="186"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In addition to the Key Facility, we have certain commitments pursuant to our Investment Management Agreement entered into with our Advisor. We have agreed to pay a fee for investment advisory and management services consisting of two components (1) a base management fee equal to a percentage of the value of our gross assets less cash or cash equivalents, and (2) a two-part incentive fee. We have also entered into a contract with our Advisor to serve as our administrator. Payments under the Administration Agreement are equal to an amount based upon our allocable portion of our Advisor’s overhead in performing its obligations under the agreement, including rent, fees and other expenses inclusive of our allocable portion of the compensation of our Chief Financial Officer and Chief Compliance Officer and their respective staffs. See Note 3 to our consolidated financial statements for additional information regarding our Investment Management Agreement and our Administration Agreement.</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Distributions</w:t>
      </w:r>
    </w:p>
    <w:p>
      <w:pPr>
        <w:spacing w:after="0" w:line="21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order to qualify and be subject to tax as a RIC, we must meet certain source-of-income, asset diversification and annual distribution requirements. Generally, in order to qualify as a RIC, we must derive at least 90% of our gross income for each tax year from dividends, interest, payments with respect to certain securities, loans, gains from the sale or other disposition of stock, securities or foreign currencies, or other income derived with respect to its business of investing in stock or other securities.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spacing w:after="0" w:line="15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in order to be subject to tax as a RIC and to avoid the imposition of corporate-level tax on the income and gains we distribute to our stockholders in respect of any tax year, we are required under the Code to distribute as dividends to our stockholders out of assets legally available for distribution each tax year an amount generally at least equal to 90% of the sum of our net ordinary income and net short-term capital gains in excess of net long-term capital losses, if any. Additionally, in order to avoid the imposition of a U.S. federal excise tax, we are required to distribute, in respect of each calendar year, dividends to our stockholders of an amount at least equal to the sum of 98% of our calendar year net ordinary income (taking into account certain deferrals and elections); 98.2% of our capital gain net income (adjusted for certain ordinary losses) for the one year period ending on October 31 of such calendar year; and any net ordinary income and capital gain net income for preceding calendar years that were not distributed during such calendar years and on which we previously did not incur any U.S. federal income tax. If we fail to qualify as a RIC for any reason and become subject to corporate tax, the resulting corporate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spacing w:after="0" w:line="3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To the extent our taxable earnings in a tax year fall below the total amount of our distributions made to stockholders in respect of such tax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review any written disclosure accompanying a distribution payment carefully and should not assume that the source of any distribution is our ordinary income or gains.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73" w:name="page74"/>
    <w:bookmarkEnd w:id="73"/>
    <w:p>
      <w:pPr>
        <w:jc w:val="both"/>
        <w:ind w:firstLine="318"/>
        <w:spacing w:after="0" w:line="266" w:lineRule="auto"/>
        <w:rPr>
          <w:sz w:val="20"/>
          <w:szCs w:val="20"/>
          <w:color w:val="auto"/>
        </w:rPr>
      </w:pPr>
      <w:r>
        <w:rPr>
          <w:rFonts w:ascii="Arial" w:cs="Arial" w:eastAsia="Arial" w:hAnsi="Arial"/>
          <w:sz w:val="17"/>
          <w:szCs w:val="17"/>
          <w:color w:val="auto"/>
        </w:rPr>
        <w:t>We have adopted an “opt out”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stockholders participating in our DRIP will not receive any corresponding cash distributions with which to pay any such applicable taxes. If our common stock is trading above NAV, a stockholder receiving distributions in the form of additional shares of our common stock will be treated as receiving a distribution of an amount equal to the fair market value of such shares of our common stock. We may use newly issued shares to implement the DRIP, or we may purchase shares in the open market in connection with our obligations under the DRIP.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entered into the Investment Management Agreement with the Advisor. The Advisor is registered as an investment adviser under the Investment Advisers Act of 1940, as amended. Our investment activities are managed by the Advisor and supervised by the Board, the majority of whom are independent directors. Under the Investment Management Agreement, we have agreed to pay the Advisor a base management fee as well as an incentive fee. During the years ended December 31, 2018, 2017 and 2016, we paid the Advisor $7.8 million, $5.4 million and $6.9 million, respectively, pursuant to the Investment Management Agreement.</w:t>
      </w:r>
    </w:p>
    <w:p>
      <w:pPr>
        <w:spacing w:after="0" w:line="19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Our Advisor is 60% owned by HTF Holdings LLC, which is 100% owned by HTF. By virtue of their ownership interest in HTF, our Chief Executive Officer, Robert D. Pomeroy, Jr. and our President, Gerald A. Michaud, may be deemed to control our Advisor.</w:t>
      </w:r>
    </w:p>
    <w:p>
      <w:pPr>
        <w:spacing w:after="0" w:line="17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have also entered into the Administration Agreement with the Advisor. Under the Administration Agreement, we have agreed to reimburse the Advisor for our allocable portion of overhead and other expenses incurred by the Advisor in performing its obligations under the Administration Agreement, including rent and our allocable portion of the costs of compensation and related expenses of our Chief Financial Officer and Chief Compliance Officer and their respective staffs. In addition, pursuant to the terms of the Administration Agreement the Advisor provides us with the office facilities and administrative services necessary to conduct our day-to-day operations. During the years ended December 31, 2018, 2017 and 2016, we paid the Advisor $0.7 million, $0.7 million and $0.9 million, respectively, pursuant to the Administration Agreement.</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predecessor of the Advisor has granted the Company a non-exclusive, royalty-free license to use the name “Horizon Technology Finance.”</w:t>
      </w:r>
    </w:p>
    <w:p>
      <w:pPr>
        <w:spacing w:after="0" w:line="22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believe that we derive substantial benefits from our relationship with our Advisor. Our Advisor may manage other investment vehicles, or Advisor Funds, with the same investment strategy as us. The Advisor may provide us an opportunity to co-invest with the Advisor Funds. Under the 1940 Act, absent receipt of exemptive relief from the SEC, we and our affiliates are precluded from co-investing in negotiated investments. On November 27, 2017, we were granted exemptive relief from the SEC which permits us to co-invest with Advisor Funds, subject to certain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GAAP.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significant accounting policies in the notes to our consolidated financial statements.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identified the following items as critical accounting policies.</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1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 xml:space="preserve">Investments are recorded at fair value. Our Board determines the fair value of our portfolio investments. We apply fair value to substantially all of our investments in accordance with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of the Financial Accounting Standards Board’s, or FASB’s, Accounting Standards Codification as amended, or ASC, which establishes a framework used to measure fair value and requires disclosures for fair value measurements. We have categorized our investments carried at fair value, based on the priority of the valuation technique, into a three-level fair value hierarchy. Fair value is a market-based measure considered from the perspective of the market participant who holds the financial instrument rather than an entity specific measure. Therefore, when market assumptions are not readily available, our own assumptions are set to reflect those that management believes market participants would use in pricing the financial instrument at the measurement date.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74" w:name="page75"/>
    <w:bookmarkEnd w:id="74"/>
    <w:p>
      <w:pPr>
        <w:jc w:val="both"/>
        <w:ind w:firstLine="318"/>
        <w:spacing w:after="0" w:line="252"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The three categories within the hierarchy are as follows:</w:t>
      </w:r>
    </w:p>
    <w:p>
      <w:pPr>
        <w:spacing w:after="0" w:line="185" w:lineRule="exact"/>
        <w:rPr>
          <w:sz w:val="20"/>
          <w:szCs w:val="20"/>
          <w:color w:val="auto"/>
        </w:rPr>
      </w:pPr>
    </w:p>
    <w:p>
      <w:pPr>
        <w:ind w:left="320"/>
        <w:spacing w:after="0"/>
        <w:tabs>
          <w:tab w:leader="none" w:pos="126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5"/>
          <w:szCs w:val="15"/>
          <w:color w:val="auto"/>
        </w:rPr>
        <w:t>Quoted prices in active markets for identical assets and liabilities.</w:t>
      </w:r>
    </w:p>
    <w:p>
      <w:pPr>
        <w:spacing w:after="0" w:line="217" w:lineRule="exact"/>
        <w:rPr>
          <w:sz w:val="20"/>
          <w:szCs w:val="20"/>
          <w:color w:val="auto"/>
        </w:rPr>
      </w:pPr>
    </w:p>
    <w:p>
      <w:pPr>
        <w:jc w:val="both"/>
        <w:ind w:left="1280" w:hanging="954"/>
        <w:spacing w:after="0" w:line="255" w:lineRule="auto"/>
        <w:tabs>
          <w:tab w:leader="none" w:pos="126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89" w:lineRule="exact"/>
        <w:rPr>
          <w:sz w:val="20"/>
          <w:szCs w:val="20"/>
          <w:color w:val="auto"/>
        </w:rPr>
      </w:pPr>
    </w:p>
    <w:p>
      <w:pPr>
        <w:jc w:val="both"/>
        <w:ind w:left="1280" w:hanging="954"/>
        <w:spacing w:after="0" w:line="330" w:lineRule="auto"/>
        <w:tabs>
          <w:tab w:leader="none" w:pos="126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5"/>
          <w:szCs w:val="15"/>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Board determines the fair value of investments in good faith, based on the input of management, the audit committee and independent valuation firms that have been engaged at the direction of our Board to assist in the valuation of each portfolio investment without a readily available market quotation at least once during a trailing twelve-month period under our valuation policy and a consistently applied valuation process. The Board conducts this valuation process at the end of each fiscal quarter, with 25% (based on fair value) of our valuation of portfolio companies that do not have a readily available market quotations subject to review by an independent valuation firm.</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recognition</w:t>
      </w:r>
    </w:p>
    <w:p>
      <w:pPr>
        <w:spacing w:after="0" w:line="21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we otherwise do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For the year ended December 31, 2018, we did not receive any payments from debt investments on non-accrual status. For the year ended December 31, 2017, we recognized as interest income interest payments of $0.1 million received from one portfolio company whose debt investment was on non-accrual status. For the year ended December 31, 2016, we did not recognize interest income from debt investments on non-accrual status.</w:t>
      </w:r>
    </w:p>
    <w:p>
      <w:pPr>
        <w:spacing w:after="0" w:line="15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receive a variety of fees from borrowers in the ordinary course of conducting our business, including advisory fees, commitment fees, amendment fees, non-utilization fees, success fees and prepayment fees. In a limited number of cases, we may also receive a non-refundable deposit earned upon the termination of a transaction. Debt investment origination fees, net of certain direct origination costs, are deferred, and along with unearned income, are amortized as a level yield adjustment over the respective term of the debt investment. All other income is recorded into income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9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income over the life of the debt investment to the extent such amounts are expected to be collected. We will generally cease accruing the income if there is insufficient value to support the accrual or if we do not expect the borrower to be able to pay all principal and interest due.</w:t>
      </w:r>
    </w:p>
    <w:p>
      <w:pPr>
        <w:spacing w:after="0" w:line="18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connection with substantially all lending arrangements, we receive warrants to purchase shares of stock from the borrower. We record the warrants as assets at estimated fair value on the grant date using the Black-Scholes valuation model. We consider the warrants as loan fees and record them as unearned income on the grant date. The unearned income is recognized as interest income over the contractual life of the related debt investment in accordance with our income recognition policy. Subsequent to origination, the warrants are also measured at fair value using the Black-Scholes valuation model. Any adjustment to fair value is recorded through earnings as net unrealized gain or loss on investments. Gains and losses from the disposition of the warrants or stock acquired from the exercise of warrants are recognized as realized gains and losses on investments.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75" w:name="page76"/>
    <w:bookmarkEnd w:id="75"/>
    <w:p>
      <w:pPr>
        <w:jc w:val="both"/>
        <w:ind w:firstLine="318"/>
        <w:spacing w:after="0" w:line="318" w:lineRule="auto"/>
        <w:rPr>
          <w:sz w:val="20"/>
          <w:szCs w:val="20"/>
          <w:color w:val="auto"/>
        </w:rPr>
      </w:pPr>
      <w:r>
        <w:rPr>
          <w:rFonts w:ascii="Arial" w:cs="Arial" w:eastAsia="Arial" w:hAnsi="Arial"/>
          <w:sz w:val="15"/>
          <w:szCs w:val="15"/>
          <w:color w:val="auto"/>
        </w:rPr>
        <w:t>Distributions from HSLFI are evaluated at the time of distribution to determine if the distribution should be recorded as dividend income or a return of capital. Generally, we will not record distributions from HSLFI as dividend income unless there are sufficient accumulated tax-basis earnings and profit in HSLFI prior to distribution. Distributions that are classified as a return of capital are recorded as a reduction in the cost basis of the investment. For the period June 1, 2018 (the commencement of HSLFI’s operations) through December 31, 2018, HSLFI distributed $0.3 million classified as dividend income to us.</w:t>
      </w:r>
    </w:p>
    <w:p>
      <w:pPr>
        <w:spacing w:after="0" w:line="14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We measure realized gains or losses by calculating the difference between the net proceeds from the repayment or sale and the amortized cost basis of the investment. Net change in unrealized appreciation or depreciation reflects the change in the fair values of our portfolio investments during the reporting period, including any reversal of previously recorded unrealized appreciation or depreciation, when gains or losses are realized.</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have elected to be treated as a RIC under Subchapter M of the Code and operate in a manner so as to qualify for the tax treatment applicable to RICs. In order to qualify as a RIC and to avoid the imposition of corporate-level U.S. federal income tax on the amounts we distribute to our stockholders, among other things, we are required to meet certain source of income and asset diversification requirements, and we must timely distribute dividends to our stockholders out of assets legally available for distribution each tax year of an amount generally at least equal to 90% of our investment company taxable income, as defined by the Code and determined without regard to any deduction for dividends paid. We, among other things, have made and intend to continue to make the requisite distributions to our stockholders, which will generally relieve us from incurring any material liability for U.S. federal income taxes.</w:t>
      </w:r>
    </w:p>
    <w:p>
      <w:pPr>
        <w:spacing w:after="0" w:line="15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Depending on the level of taxable income earned in a tax year, we may choose to carry forward taxable income in excess of current year distributions into the next tax year and incur a 4% excise tax on such income, as required. To the extent that we determine that our estimated current year annual taxable income will be in excess of estimated current year distributions, we will accrue excise tax, if any, on estimated excess taxable income as taxable income is earned.</w:t>
      </w:r>
    </w:p>
    <w:p>
      <w:pPr>
        <w:spacing w:after="0" w:line="13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We evaluate tax positions taken in the course of preparing our tax returns to determine whether the tax positions are “more-likely-than-not” to be sustained by the applicable tax authority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 modified by ASC Topic 946, </w:t>
      </w:r>
      <w:r>
        <w:rPr>
          <w:rFonts w:ascii="Arial" w:cs="Arial" w:eastAsia="Arial" w:hAnsi="Arial"/>
          <w:sz w:val="18"/>
          <w:szCs w:val="18"/>
          <w:i w:val="1"/>
          <w:iCs w:val="1"/>
          <w:color w:val="auto"/>
        </w:rPr>
        <w:t>Financial Services – Investment Companies</w:t>
      </w:r>
      <w:r>
        <w:rPr>
          <w:rFonts w:ascii="Arial" w:cs="Arial" w:eastAsia="Arial" w:hAnsi="Arial"/>
          <w:sz w:val="18"/>
          <w:szCs w:val="18"/>
          <w:color w:val="auto"/>
        </w:rPr>
        <w:t>. Tax benefits of positions not deemed to meet the more-likely-than-not threshold, or uncertain tax positions, are recorded as a tax expense in the current year. It is our policy to recognize accrued interest and penalties related to uncertain tax benefits in income tax expense. We had no material uncertain tax positions at December 31, 2018 and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April 2014, the FASB issued Accounting Standards Update 2014-09, Revenue from Contracts with Customers (Topic 606), or ASU 2014-09, which amends existing revenue recognition guidance to depict the transfer of promised goods or services to customers in an amount that reflects the consideration to which the entity expects to be entitled in exchange for those goods or services. ASU 2014-09 is effective for annual and interim periods beginning after December 15, 2017. As required, we adopted ASU 2014-09 effective January 1, 2018, and such adoption did not have an impact on our consolidated financial statements and disclosures.</w:t>
      </w:r>
    </w:p>
    <w:p>
      <w:pPr>
        <w:spacing w:after="0" w:line="19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August 2018, the FASB issued ASU 2018-13, Fair Value Measurement (Topic 820): Disclosure Framework – Changes to the Disclosure Requirements for Fair Value Measurement, or ASU 2018-13, which modifies disclosure requirements for the fair value measurement of Level 3 securities of public companies. This guidance is effective for annual and interim periods beginning on or after December 15, 2019 and early adoption is permitted. We elected to early adopt ASU 2018-13 for the year ended December 31, 2018. As a result, no significant changes were made to our disclosures in the notes to the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SEC Disclosure Update and Simplification</w:t>
      </w:r>
    </w:p>
    <w:p>
      <w:pPr>
        <w:spacing w:after="0" w:line="223"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August 2018, the SEC adopted the final rule under SEC Release No. 33-10532, Disclosure Update and Simplification, or the SEC Release, amending certain disclosure requirements that were redundant, duplicative, overlapping, outdated or superseded. The SEC Release is effective for all filings on or after November 5, 2018. As required, we adopted the SEC Release for the year ended December 31, 2018. The SEC Release required changes to the presentation of our Consolidated Statements of Assets and Liabilities and the Consolidated Statements of Changes in Net Assets. Prior to adoption, we presented distributable earnings on the Consolidated Statements of Assets and Liabilities and the Consolidated Statement of Net Assets as three components: 1) distributions in excess of net investment income; 2) net unrealized depreciation on investments; and 3) net realized loss on investments. Upon adoption, we present distributable earnings in total on the Consolidated Statements of Assets and Liabilities and the Consolidated Statements of Changes in Net Assets. The changes in presentation have been retrospectively applied to the Consolidated Statement of Assets and Liabilities as of December 31, 2017 and to the Consolidated Statements of Changes in Net Assets for the years ended December 31, 2017 and 2016.</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March 5, 2019, our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subject to financial market risks, including changes in interest rates. During the periods covered by our financial statements, the interest rates on the debt investments within our portfolio were primarily at floating rates. We expect that our debt investments in the future will primarily have floating interest rates. As of December 31, 2018 and 2017, 99% of the outstanding principal amount of our debt investments bore interest at floating rates. The initial commitments to lend to our portfolio companies are usually based on a floating LIBOR index.</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Based on our December 31, 2018 consolidated statement of assets and liabilities (without adjustment for potential changes in the credit market, credit quality, size and composition of assets on the consolidated statement of assets and liabilities or other business developments that could affect net income) and the base index rates at December 31, 2018, the following table shows the annual impact on the change in net assets resulting from operations of changes in interest rates, which assumes no changes in our investments and borrowings:</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217"/>
        </w:trPr>
        <w:tc>
          <w:tcPr>
            <w:tcW w:w="5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b w:val="1"/>
                <w:bCs w:val="1"/>
                <w:color w:val="auto"/>
                <w:w w:val="86"/>
              </w:rPr>
              <w:t>Investment</w:t>
            </w:r>
          </w:p>
        </w:tc>
        <w:tc>
          <w:tcPr>
            <w:tcW w:w="24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w w:val="98"/>
              </w:rPr>
              <w:t>Interest</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Change in</w:t>
            </w:r>
          </w:p>
        </w:tc>
      </w:tr>
      <w:tr>
        <w:trPr>
          <w:trHeight w:val="265"/>
        </w:trPr>
        <w:tc>
          <w:tcPr>
            <w:tcW w:w="5580" w:type="dxa"/>
            <w:vAlign w:val="bottom"/>
          </w:tcPr>
          <w:p>
            <w:pPr>
              <w:spacing w:after="0"/>
              <w:rPr>
                <w:sz w:val="20"/>
                <w:szCs w:val="20"/>
                <w:color w:val="auto"/>
              </w:rPr>
            </w:pPr>
            <w:r>
              <w:rPr>
                <w:rFonts w:ascii="Arial" w:cs="Arial" w:eastAsia="Arial" w:hAnsi="Arial"/>
                <w:sz w:val="18"/>
                <w:szCs w:val="18"/>
                <w:b w:val="1"/>
                <w:bCs w:val="1"/>
                <w:color w:val="auto"/>
              </w:rPr>
              <w:t>Change in basis points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b w:val="1"/>
                <w:bCs w:val="1"/>
                <w:color w:val="auto"/>
              </w:rPr>
              <w:t>Income</w:t>
            </w:r>
          </w:p>
        </w:tc>
        <w:tc>
          <w:tcPr>
            <w:tcW w:w="240" w:type="dxa"/>
            <w:vAlign w:val="bottom"/>
          </w:tcPr>
          <w:p>
            <w:pPr>
              <w:spacing w:after="0"/>
              <w:rPr>
                <w:sz w:val="23"/>
                <w:szCs w:val="23"/>
                <w:color w:val="auto"/>
              </w:rPr>
            </w:pPr>
          </w:p>
        </w:tc>
        <w:tc>
          <w:tcPr>
            <w:tcW w:w="980" w:type="dxa"/>
            <w:vAlign w:val="bottom"/>
          </w:tcPr>
          <w:p>
            <w:pPr>
              <w:jc w:val="right"/>
              <w:ind w:right="212"/>
              <w:spacing w:after="0"/>
              <w:rPr>
                <w:sz w:val="20"/>
                <w:szCs w:val="20"/>
                <w:color w:val="auto"/>
              </w:rPr>
            </w:pPr>
            <w:r>
              <w:rPr>
                <w:rFonts w:ascii="Arial" w:cs="Arial" w:eastAsia="Arial" w:hAnsi="Arial"/>
                <w:sz w:val="18"/>
                <w:szCs w:val="18"/>
                <w:b w:val="1"/>
                <w:bCs w:val="1"/>
                <w:color w:val="auto"/>
                <w:w w:val="89"/>
              </w:rPr>
              <w:t>Expense</w:t>
            </w:r>
          </w:p>
        </w:tc>
        <w:tc>
          <w:tcPr>
            <w:tcW w:w="1120" w:type="dxa"/>
            <w:vAlign w:val="bottom"/>
            <w:gridSpan w:val="3"/>
          </w:tcPr>
          <w:p>
            <w:pPr>
              <w:ind w:left="80"/>
              <w:spacing w:after="0" w:line="265" w:lineRule="exact"/>
              <w:rPr>
                <w:sz w:val="20"/>
                <w:szCs w:val="20"/>
                <w:color w:val="auto"/>
              </w:rPr>
            </w:pPr>
            <w:r>
              <w:rPr>
                <w:rFonts w:ascii="Arial" w:cs="Arial" w:eastAsia="Arial" w:hAnsi="Arial"/>
                <w:sz w:val="18"/>
                <w:szCs w:val="18"/>
                <w:b w:val="1"/>
                <w:bCs w:val="1"/>
                <w:color w:val="auto"/>
                <w:w w:val="87"/>
              </w:rPr>
              <w:t>Net Assets</w:t>
            </w:r>
            <w:r>
              <w:rPr>
                <w:rFonts w:ascii="Arial" w:cs="Arial" w:eastAsia="Arial" w:hAnsi="Arial"/>
                <w:sz w:val="29"/>
                <w:szCs w:val="29"/>
                <w:b w:val="1"/>
                <w:bCs w:val="1"/>
                <w:color w:val="auto"/>
                <w:w w:val="87"/>
                <w:vertAlign w:val="superscript"/>
              </w:rPr>
              <w:t>(1)</w:t>
            </w:r>
          </w:p>
        </w:tc>
      </w:tr>
      <w:tr>
        <w:trPr>
          <w:trHeight w:val="205"/>
        </w:trPr>
        <w:tc>
          <w:tcPr>
            <w:tcW w:w="5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12"/>
              <w:spacing w:after="0" w:line="206" w:lineRule="exact"/>
              <w:rPr>
                <w:sz w:val="20"/>
                <w:szCs w:val="20"/>
                <w:color w:val="auto"/>
              </w:rPr>
            </w:pPr>
            <w:r>
              <w:rPr>
                <w:rFonts w:ascii="Arial" w:cs="Arial" w:eastAsia="Arial" w:hAnsi="Arial"/>
                <w:sz w:val="18"/>
                <w:szCs w:val="18"/>
                <w:b w:val="1"/>
                <w:bCs w:val="1"/>
                <w:color w:val="auto"/>
                <w:w w:val="88"/>
              </w:rPr>
              <w:t>(In thousands)</w:t>
            </w: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2,753</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80" w:type="dxa"/>
            <w:vAlign w:val="bottom"/>
            <w:shd w:val="clear" w:color="auto" w:fill="CCEEFF"/>
          </w:tcPr>
          <w:p>
            <w:pPr>
              <w:spacing w:after="0"/>
              <w:rPr>
                <w:sz w:val="18"/>
                <w:szCs w:val="18"/>
                <w:color w:val="auto"/>
              </w:rPr>
            </w:pPr>
          </w:p>
        </w:tc>
      </w:tr>
      <w:tr>
        <w:trPr>
          <w:trHeight w:val="212"/>
        </w:trPr>
        <w:tc>
          <w:tcPr>
            <w:tcW w:w="5580" w:type="dxa"/>
            <w:vAlign w:val="bottom"/>
          </w:tcPr>
          <w:p>
            <w:pPr>
              <w:spacing w:after="0"/>
              <w:rPr>
                <w:sz w:val="20"/>
                <w:szCs w:val="20"/>
                <w:color w:val="auto"/>
              </w:rPr>
            </w:pPr>
            <w:r>
              <w:rPr>
                <w:rFonts w:ascii="Arial" w:cs="Arial" w:eastAsia="Arial" w:hAnsi="Arial"/>
                <w:sz w:val="18"/>
                <w:szCs w:val="18"/>
                <w:color w:val="auto"/>
              </w:rPr>
              <w:t>Up 200 basis points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1,835</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2,749</w:t>
            </w:r>
          </w:p>
        </w:tc>
        <w:tc>
          <w:tcPr>
            <w:tcW w:w="80" w:type="dxa"/>
            <w:vAlign w:val="bottom"/>
          </w:tcPr>
          <w:p>
            <w:pPr>
              <w:spacing w:after="0"/>
              <w:rPr>
                <w:sz w:val="18"/>
                <w:szCs w:val="18"/>
                <w:color w:val="auto"/>
              </w:rPr>
            </w:pPr>
          </w:p>
        </w:tc>
      </w:tr>
      <w:tr>
        <w:trPr>
          <w:trHeight w:val="212"/>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918</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80" w:type="dxa"/>
            <w:vAlign w:val="bottom"/>
            <w:shd w:val="clear" w:color="auto" w:fill="CCEEFF"/>
          </w:tcPr>
          <w:p>
            <w:pPr>
              <w:spacing w:after="0"/>
              <w:rPr>
                <w:sz w:val="18"/>
                <w:szCs w:val="18"/>
                <w:color w:val="auto"/>
              </w:rPr>
            </w:pPr>
          </w:p>
        </w:tc>
      </w:tr>
      <w:tr>
        <w:trPr>
          <w:trHeight w:val="212"/>
        </w:trPr>
        <w:tc>
          <w:tcPr>
            <w:tcW w:w="5580" w:type="dxa"/>
            <w:vAlign w:val="bottom"/>
          </w:tcPr>
          <w:p>
            <w:pPr>
              <w:spacing w:after="0"/>
              <w:rPr>
                <w:sz w:val="20"/>
                <w:szCs w:val="20"/>
                <w:color w:val="auto"/>
              </w:rPr>
            </w:pPr>
            <w:r>
              <w:rPr>
                <w:rFonts w:ascii="Arial" w:cs="Arial" w:eastAsia="Arial" w:hAnsi="Arial"/>
                <w:sz w:val="18"/>
                <w:szCs w:val="18"/>
                <w:color w:val="auto"/>
              </w:rPr>
              <w:t>Down 300 basis points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(1,467)</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(717)</w:t>
            </w:r>
          </w:p>
        </w:tc>
      </w:tr>
      <w:tr>
        <w:trPr>
          <w:trHeight w:val="212"/>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w:t>
            </w: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Down 100 basis points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(918)</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(762)</w:t>
            </w:r>
          </w:p>
        </w:tc>
      </w:tr>
    </w:tbl>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Excludes the impact of incentive fees based on pre-incentive fee net investment income.</w:t>
      </w:r>
    </w:p>
    <w:p>
      <w:pPr>
        <w:spacing w:after="0" w:line="217"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While our 2022 Notes bear interest at a fixed rate, our Key Facility has a floating interest rate provision, subject to a floor of 0.75% per annum, based on a LIBOR index which resets monthly, and any other credit facilities into which we enter in the future may have floating interest rate provisions. We have used hedging instruments in the past to protect us against interest rate fluctuations, and we may use them in the future. Such instruments may include caps, swaps,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Because we currently fund, and expect to continue to fund, our investments with borrowings, our net income is dependent upon the difference between the rate at which we borrow funds and the rate at which we invest the funds borrowed. Accordingly, there can be no assurance that a significant change in market interest rates will not have a material adverse effect on our net income. In periods of rising interest rates, our cost of funds could increase, which would reduce our net investment income.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9"/>
        </w:trPr>
        <w:tc>
          <w:tcPr>
            <w:tcW w:w="1062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Consolidated Financial Statements and Supplementary Data</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4"/>
        </w:trPr>
        <w:tc>
          <w:tcPr>
            <w:tcW w:w="3360" w:type="dxa"/>
            <w:vAlign w:val="bottom"/>
          </w:tcPr>
          <w:p>
            <w:pPr>
              <w:spacing w:after="0"/>
              <w:rPr>
                <w:sz w:val="24"/>
                <w:szCs w:val="24"/>
                <w:color w:val="auto"/>
              </w:rPr>
            </w:pPr>
          </w:p>
        </w:tc>
        <w:tc>
          <w:tcPr>
            <w:tcW w:w="7260" w:type="dxa"/>
            <w:vAlign w:val="bottom"/>
            <w:gridSpan w:val="8"/>
          </w:tcPr>
          <w:p>
            <w:pPr>
              <w:jc w:val="center"/>
              <w:ind w:right="2560"/>
              <w:spacing w:after="0"/>
              <w:rPr>
                <w:sz w:val="20"/>
                <w:szCs w:val="20"/>
                <w:color w:val="auto"/>
              </w:rPr>
            </w:pPr>
            <w:r>
              <w:rPr>
                <w:rFonts w:ascii="Arial" w:cs="Arial" w:eastAsia="Arial" w:hAnsi="Arial"/>
                <w:sz w:val="18"/>
                <w:szCs w:val="18"/>
                <w:b w:val="1"/>
                <w:bCs w:val="1"/>
                <w:color w:val="auto"/>
                <w:w w:val="88"/>
              </w:rPr>
              <w:t>Index to Consolidated Financial Statements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25"/>
        </w:trPr>
        <w:tc>
          <w:tcPr>
            <w:tcW w:w="33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66"/>
        </w:trPr>
        <w:tc>
          <w:tcPr>
            <w:tcW w:w="10620" w:type="dxa"/>
            <w:vAlign w:val="bottom"/>
            <w:gridSpan w:val="9"/>
            <w:shd w:val="clear" w:color="auto" w:fill="CCEEFF"/>
          </w:tcPr>
          <w:p>
            <w:pPr>
              <w:spacing w:after="0" w:line="166" w:lineRule="exact"/>
              <w:rPr>
                <w:rFonts w:ascii="Arial" w:cs="Arial" w:eastAsia="Arial" w:hAnsi="Arial"/>
                <w:sz w:val="18"/>
                <w:szCs w:val="18"/>
                <w:color w:val="0000EE"/>
              </w:rPr>
            </w:pPr>
            <w:hyperlink w:anchor="page79">
              <w:r>
                <w:rPr>
                  <w:rFonts w:ascii="Arial" w:cs="Arial" w:eastAsia="Arial" w:hAnsi="Arial"/>
                  <w:sz w:val="18"/>
                  <w:szCs w:val="18"/>
                  <w:color w:val="0000EE"/>
                </w:rPr>
                <w:t>Management’s Report on Internal Control over Financial Reporting</w:t>
              </w:r>
            </w:hyperlink>
          </w:p>
        </w:tc>
        <w:tc>
          <w:tcPr>
            <w:tcW w:w="500" w:type="dxa"/>
            <w:vAlign w:val="bottom"/>
            <w:gridSpan w:val="2"/>
            <w:shd w:val="clear" w:color="auto" w:fill="CCEEFF"/>
          </w:tcPr>
          <w:p>
            <w:pPr>
              <w:jc w:val="center"/>
              <w:ind w:left="232"/>
              <w:spacing w:after="0" w:line="16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78</w:t>
              </w:r>
            </w:hyperlink>
          </w:p>
        </w:tc>
        <w:tc>
          <w:tcPr>
            <w:tcW w:w="300" w:type="dxa"/>
            <w:vAlign w:val="bottom"/>
            <w:shd w:val="clear" w:color="auto" w:fill="CCEEFF"/>
          </w:tcPr>
          <w:p>
            <w:pPr>
              <w:spacing w:after="0"/>
              <w:rPr>
                <w:sz w:val="14"/>
                <w:szCs w:val="14"/>
                <w:color w:val="auto"/>
              </w:rPr>
            </w:pPr>
          </w:p>
        </w:tc>
      </w:tr>
      <w:tr>
        <w:trPr>
          <w:trHeight w:val="40"/>
        </w:trPr>
        <w:tc>
          <w:tcPr>
            <w:tcW w:w="336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r>
      <w:tr>
        <w:trPr>
          <w:trHeight w:val="172"/>
        </w:trPr>
        <w:tc>
          <w:tcPr>
            <w:tcW w:w="4780" w:type="dxa"/>
            <w:vAlign w:val="bottom"/>
            <w:gridSpan w:val="3"/>
          </w:tcPr>
          <w:p>
            <w:pPr>
              <w:spacing w:after="0" w:line="172" w:lineRule="exact"/>
              <w:rPr>
                <w:rFonts w:ascii="Arial" w:cs="Arial" w:eastAsia="Arial" w:hAnsi="Arial"/>
                <w:sz w:val="18"/>
                <w:szCs w:val="18"/>
                <w:color w:val="0000EE"/>
              </w:rPr>
            </w:pPr>
            <w:hyperlink w:anchor="page80">
              <w:r>
                <w:rPr>
                  <w:rFonts w:ascii="Arial" w:cs="Arial" w:eastAsia="Arial" w:hAnsi="Arial"/>
                  <w:sz w:val="18"/>
                  <w:szCs w:val="18"/>
                  <w:color w:val="0000EE"/>
                </w:rPr>
                <w:t>Report of Independent Registered Public Accounting Firm</w:t>
              </w:r>
            </w:hyperlink>
          </w:p>
        </w:tc>
        <w:tc>
          <w:tcPr>
            <w:tcW w:w="5840" w:type="dxa"/>
            <w:vAlign w:val="bottom"/>
            <w:gridSpan w:val="6"/>
          </w:tcPr>
          <w:p>
            <w:pPr>
              <w:spacing w:after="0"/>
              <w:rPr>
                <w:sz w:val="14"/>
                <w:szCs w:val="14"/>
                <w:color w:val="auto"/>
              </w:rPr>
            </w:pPr>
          </w:p>
        </w:tc>
        <w:tc>
          <w:tcPr>
            <w:tcW w:w="500" w:type="dxa"/>
            <w:vAlign w:val="bottom"/>
            <w:gridSpan w:val="2"/>
          </w:tcPr>
          <w:p>
            <w:pPr>
              <w:jc w:val="center"/>
              <w:ind w:left="232"/>
              <w:spacing w:after="0" w:line="172"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79</w:t>
              </w:r>
            </w:hyperlink>
          </w:p>
        </w:tc>
        <w:tc>
          <w:tcPr>
            <w:tcW w:w="300" w:type="dxa"/>
            <w:vAlign w:val="bottom"/>
          </w:tcPr>
          <w:p>
            <w:pPr>
              <w:spacing w:after="0"/>
              <w:rPr>
                <w:sz w:val="14"/>
                <w:szCs w:val="14"/>
                <w:color w:val="auto"/>
              </w:rPr>
            </w:pPr>
          </w:p>
        </w:tc>
      </w:tr>
      <w:tr>
        <w:trPr>
          <w:trHeight w:val="20"/>
        </w:trPr>
        <w:tc>
          <w:tcPr>
            <w:tcW w:w="3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2"/>
        </w:trPr>
        <w:tc>
          <w:tcPr>
            <w:tcW w:w="7360" w:type="dxa"/>
            <w:vAlign w:val="bottom"/>
            <w:gridSpan w:val="7"/>
            <w:shd w:val="clear" w:color="auto" w:fill="CCEEFF"/>
          </w:tcPr>
          <w:p>
            <w:pPr>
              <w:spacing w:after="0" w:line="192"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Report of Independent Registered Public Accounting Firm on Internal Control over Financial Reporting</w:t>
              </w:r>
            </w:hyperlink>
          </w:p>
        </w:tc>
        <w:tc>
          <w:tcPr>
            <w:tcW w:w="3260" w:type="dxa"/>
            <w:vAlign w:val="bottom"/>
            <w:gridSpan w:val="2"/>
            <w:shd w:val="clear" w:color="auto" w:fill="CCEEFF"/>
          </w:tcPr>
          <w:p>
            <w:pPr>
              <w:spacing w:after="0"/>
              <w:rPr>
                <w:sz w:val="16"/>
                <w:szCs w:val="16"/>
                <w:color w:val="auto"/>
              </w:rPr>
            </w:pPr>
          </w:p>
        </w:tc>
        <w:tc>
          <w:tcPr>
            <w:tcW w:w="500" w:type="dxa"/>
            <w:vAlign w:val="bottom"/>
            <w:gridSpan w:val="2"/>
            <w:shd w:val="clear" w:color="auto" w:fill="CCEEFF"/>
          </w:tcPr>
          <w:p>
            <w:pPr>
              <w:jc w:val="center"/>
              <w:ind w:left="232"/>
              <w:spacing w:after="0" w:line="19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80</w:t>
              </w:r>
            </w:hyperlink>
          </w:p>
        </w:tc>
        <w:tc>
          <w:tcPr>
            <w:tcW w:w="300" w:type="dxa"/>
            <w:vAlign w:val="bottom"/>
            <w:shd w:val="clear" w:color="auto" w:fill="CCEEFF"/>
          </w:tcPr>
          <w:p>
            <w:pPr>
              <w:spacing w:after="0"/>
              <w:rPr>
                <w:sz w:val="16"/>
                <w:szCs w:val="16"/>
                <w:color w:val="auto"/>
              </w:rPr>
            </w:pPr>
          </w:p>
        </w:tc>
      </w:tr>
      <w:tr>
        <w:trPr>
          <w:trHeight w:val="40"/>
        </w:trPr>
        <w:tc>
          <w:tcPr>
            <w:tcW w:w="336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820" w:type="dxa"/>
            <w:vAlign w:val="bottom"/>
            <w:tcBorders>
              <w:right w:val="single" w:sz="8" w:color="0000EE"/>
            </w:tcBorders>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r>
      <w:tr>
        <w:trPr>
          <w:trHeight w:val="172"/>
        </w:trPr>
        <w:tc>
          <w:tcPr>
            <w:tcW w:w="7360" w:type="dxa"/>
            <w:vAlign w:val="bottom"/>
            <w:gridSpan w:val="7"/>
          </w:tcPr>
          <w:p>
            <w:pPr>
              <w:spacing w:after="0" w:line="172"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Statements of Assets and Liabilities as of December 31, 2018 and 2017</w:t>
              </w:r>
            </w:hyperlink>
          </w:p>
        </w:tc>
        <w:tc>
          <w:tcPr>
            <w:tcW w:w="3260" w:type="dxa"/>
            <w:vAlign w:val="bottom"/>
            <w:gridSpan w:val="2"/>
          </w:tcPr>
          <w:p>
            <w:pPr>
              <w:spacing w:after="0"/>
              <w:rPr>
                <w:sz w:val="14"/>
                <w:szCs w:val="14"/>
                <w:color w:val="auto"/>
              </w:rPr>
            </w:pPr>
          </w:p>
        </w:tc>
        <w:tc>
          <w:tcPr>
            <w:tcW w:w="500" w:type="dxa"/>
            <w:vAlign w:val="bottom"/>
            <w:gridSpan w:val="2"/>
          </w:tcPr>
          <w:p>
            <w:pPr>
              <w:jc w:val="center"/>
              <w:ind w:left="232"/>
              <w:spacing w:after="0" w:line="17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81</w:t>
              </w:r>
            </w:hyperlink>
          </w:p>
        </w:tc>
        <w:tc>
          <w:tcPr>
            <w:tcW w:w="300" w:type="dxa"/>
            <w:vAlign w:val="bottom"/>
          </w:tcPr>
          <w:p>
            <w:pPr>
              <w:spacing w:after="0"/>
              <w:rPr>
                <w:sz w:val="14"/>
                <w:szCs w:val="14"/>
                <w:color w:val="auto"/>
              </w:rPr>
            </w:pPr>
          </w:p>
        </w:tc>
      </w:tr>
      <w:tr>
        <w:trPr>
          <w:trHeight w:val="20"/>
        </w:trPr>
        <w:tc>
          <w:tcPr>
            <w:tcW w:w="3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2"/>
        </w:trPr>
        <w:tc>
          <w:tcPr>
            <w:tcW w:w="10620" w:type="dxa"/>
            <w:vAlign w:val="bottom"/>
            <w:gridSpan w:val="9"/>
            <w:shd w:val="clear" w:color="auto" w:fill="CCEEFF"/>
          </w:tcPr>
          <w:p>
            <w:pPr>
              <w:spacing w:after="0" w:line="192"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Statements of Operations for the Years Ended December 31, 2018, 2017 and 2016</w:t>
              </w:r>
            </w:hyperlink>
          </w:p>
        </w:tc>
        <w:tc>
          <w:tcPr>
            <w:tcW w:w="500" w:type="dxa"/>
            <w:vAlign w:val="bottom"/>
            <w:gridSpan w:val="2"/>
            <w:shd w:val="clear" w:color="auto" w:fill="CCEEFF"/>
          </w:tcPr>
          <w:p>
            <w:pPr>
              <w:jc w:val="center"/>
              <w:ind w:left="232"/>
              <w:spacing w:after="0" w:line="192"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82</w:t>
              </w:r>
            </w:hyperlink>
          </w:p>
        </w:tc>
        <w:tc>
          <w:tcPr>
            <w:tcW w:w="300" w:type="dxa"/>
            <w:vAlign w:val="bottom"/>
            <w:shd w:val="clear" w:color="auto" w:fill="CCEEFF"/>
          </w:tcPr>
          <w:p>
            <w:pPr>
              <w:spacing w:after="0"/>
              <w:rPr>
                <w:sz w:val="16"/>
                <w:szCs w:val="16"/>
                <w:color w:val="auto"/>
              </w:rPr>
            </w:pPr>
          </w:p>
        </w:tc>
      </w:tr>
      <w:tr>
        <w:trPr>
          <w:trHeight w:val="40"/>
        </w:trPr>
        <w:tc>
          <w:tcPr>
            <w:tcW w:w="336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820" w:type="dxa"/>
            <w:vAlign w:val="bottom"/>
            <w:tcBorders>
              <w:right w:val="single" w:sz="8" w:color="CCEEFF"/>
            </w:tcBorders>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r>
      <w:tr>
        <w:trPr>
          <w:trHeight w:val="172"/>
        </w:trPr>
        <w:tc>
          <w:tcPr>
            <w:tcW w:w="10620" w:type="dxa"/>
            <w:vAlign w:val="bottom"/>
            <w:gridSpan w:val="9"/>
          </w:tcPr>
          <w:p>
            <w:pPr>
              <w:spacing w:after="0" w:line="172"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Changes in Net Assets for the Years Ended December 31, 2018, 2017 and 2016</w:t>
              </w:r>
            </w:hyperlink>
          </w:p>
        </w:tc>
        <w:tc>
          <w:tcPr>
            <w:tcW w:w="500" w:type="dxa"/>
            <w:vAlign w:val="bottom"/>
            <w:gridSpan w:val="2"/>
          </w:tcPr>
          <w:p>
            <w:pPr>
              <w:jc w:val="center"/>
              <w:ind w:left="232"/>
              <w:spacing w:after="0" w:line="172"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84</w:t>
              </w:r>
            </w:hyperlink>
          </w:p>
        </w:tc>
        <w:tc>
          <w:tcPr>
            <w:tcW w:w="300" w:type="dxa"/>
            <w:vAlign w:val="bottom"/>
          </w:tcPr>
          <w:p>
            <w:pPr>
              <w:spacing w:after="0"/>
              <w:rPr>
                <w:sz w:val="14"/>
                <w:szCs w:val="14"/>
                <w:color w:val="auto"/>
              </w:rPr>
            </w:pPr>
          </w:p>
        </w:tc>
      </w:tr>
      <w:tr>
        <w:trPr>
          <w:trHeight w:val="20"/>
        </w:trPr>
        <w:tc>
          <w:tcPr>
            <w:tcW w:w="3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2"/>
        </w:trPr>
        <w:tc>
          <w:tcPr>
            <w:tcW w:w="6840" w:type="dxa"/>
            <w:vAlign w:val="bottom"/>
            <w:tcBorders>
              <w:right w:val="single" w:sz="8" w:color="CCEEFF"/>
            </w:tcBorders>
            <w:gridSpan w:val="6"/>
            <w:shd w:val="clear" w:color="auto" w:fill="CCEEFF"/>
          </w:tcPr>
          <w:p>
            <w:pPr>
              <w:spacing w:after="0" w:line="192" w:lineRule="exact"/>
              <w:rPr>
                <w:rFonts w:ascii="Arial" w:cs="Arial" w:eastAsia="Arial" w:hAnsi="Arial"/>
                <w:sz w:val="18"/>
                <w:szCs w:val="18"/>
                <w:color w:val="0000EE"/>
                <w:w w:val="87"/>
              </w:rPr>
            </w:pPr>
            <w:hyperlink w:anchor="page86">
              <w:r>
                <w:rPr>
                  <w:rFonts w:ascii="Arial" w:cs="Arial" w:eastAsia="Arial" w:hAnsi="Arial"/>
                  <w:sz w:val="18"/>
                  <w:szCs w:val="18"/>
                  <w:color w:val="0000EE"/>
                  <w:w w:val="87"/>
                </w:rPr>
                <w:t>Consolidated Statements of Cash Flows for the Years Ended December 31, 2018, 2017 and 2016</w:t>
              </w:r>
            </w:hyperlink>
          </w:p>
        </w:tc>
        <w:tc>
          <w:tcPr>
            <w:tcW w:w="760" w:type="dxa"/>
            <w:vAlign w:val="bottom"/>
            <w:gridSpan w:val="2"/>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left="232"/>
              <w:spacing w:after="0" w:line="192"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85</w:t>
              </w:r>
            </w:hyperlink>
          </w:p>
        </w:tc>
        <w:tc>
          <w:tcPr>
            <w:tcW w:w="300" w:type="dxa"/>
            <w:vAlign w:val="bottom"/>
            <w:shd w:val="clear" w:color="auto" w:fill="CCEEFF"/>
          </w:tcPr>
          <w:p>
            <w:pPr>
              <w:spacing w:after="0"/>
              <w:rPr>
                <w:sz w:val="16"/>
                <w:szCs w:val="16"/>
                <w:color w:val="auto"/>
              </w:rPr>
            </w:pPr>
          </w:p>
        </w:tc>
      </w:tr>
      <w:tr>
        <w:trPr>
          <w:trHeight w:val="40"/>
        </w:trPr>
        <w:tc>
          <w:tcPr>
            <w:tcW w:w="336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820" w:type="dxa"/>
            <w:vAlign w:val="bottom"/>
            <w:tcBorders>
              <w:right w:val="single" w:sz="8" w:color="0000EE"/>
            </w:tcBorders>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r>
      <w:tr>
        <w:trPr>
          <w:trHeight w:val="172"/>
        </w:trPr>
        <w:tc>
          <w:tcPr>
            <w:tcW w:w="6840" w:type="dxa"/>
            <w:vAlign w:val="bottom"/>
            <w:gridSpan w:val="6"/>
          </w:tcPr>
          <w:p>
            <w:pPr>
              <w:spacing w:after="0" w:line="172" w:lineRule="exact"/>
              <w:rPr>
                <w:rFonts w:ascii="Arial" w:cs="Arial" w:eastAsia="Arial" w:hAnsi="Arial"/>
                <w:sz w:val="18"/>
                <w:szCs w:val="18"/>
                <w:color w:val="0000EE"/>
              </w:rPr>
            </w:pPr>
            <w:hyperlink w:anchor="page87">
              <w:r>
                <w:rPr>
                  <w:rFonts w:ascii="Arial" w:cs="Arial" w:eastAsia="Arial" w:hAnsi="Arial"/>
                  <w:sz w:val="18"/>
                  <w:szCs w:val="18"/>
                  <w:color w:val="0000EE"/>
                </w:rPr>
                <w:t>Consolidated Schedules of Investments as of December 31, 2018 and 2017</w:t>
              </w:r>
            </w:hyperlink>
          </w:p>
        </w:tc>
        <w:tc>
          <w:tcPr>
            <w:tcW w:w="3780" w:type="dxa"/>
            <w:vAlign w:val="bottom"/>
            <w:gridSpan w:val="3"/>
          </w:tcPr>
          <w:p>
            <w:pPr>
              <w:spacing w:after="0"/>
              <w:rPr>
                <w:sz w:val="14"/>
                <w:szCs w:val="14"/>
                <w:color w:val="auto"/>
              </w:rPr>
            </w:pPr>
          </w:p>
        </w:tc>
        <w:tc>
          <w:tcPr>
            <w:tcW w:w="500" w:type="dxa"/>
            <w:vAlign w:val="bottom"/>
            <w:gridSpan w:val="2"/>
          </w:tcPr>
          <w:p>
            <w:pPr>
              <w:jc w:val="center"/>
              <w:ind w:left="232"/>
              <w:spacing w:after="0" w:line="172"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86</w:t>
              </w:r>
            </w:hyperlink>
          </w:p>
        </w:tc>
        <w:tc>
          <w:tcPr>
            <w:tcW w:w="300" w:type="dxa"/>
            <w:vAlign w:val="bottom"/>
          </w:tcPr>
          <w:p>
            <w:pPr>
              <w:spacing w:after="0"/>
              <w:rPr>
                <w:sz w:val="14"/>
                <w:szCs w:val="14"/>
                <w:color w:val="auto"/>
              </w:rPr>
            </w:pPr>
          </w:p>
        </w:tc>
      </w:tr>
      <w:tr>
        <w:trPr>
          <w:trHeight w:val="20"/>
        </w:trPr>
        <w:tc>
          <w:tcPr>
            <w:tcW w:w="3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2"/>
        </w:trPr>
        <w:tc>
          <w:tcPr>
            <w:tcW w:w="3360" w:type="dxa"/>
            <w:vAlign w:val="bottom"/>
            <w:shd w:val="clear" w:color="auto" w:fill="CCEEFF"/>
          </w:tcPr>
          <w:p>
            <w:pPr>
              <w:spacing w:after="0" w:line="192" w:lineRule="exact"/>
              <w:rPr>
                <w:rFonts w:ascii="Arial" w:cs="Arial" w:eastAsia="Arial" w:hAnsi="Arial"/>
                <w:sz w:val="18"/>
                <w:szCs w:val="18"/>
                <w:color w:val="0000EE"/>
                <w:w w:val="87"/>
              </w:rPr>
            </w:pPr>
            <w:hyperlink w:anchor="page98">
              <w:r>
                <w:rPr>
                  <w:rFonts w:ascii="Arial" w:cs="Arial" w:eastAsia="Arial" w:hAnsi="Arial"/>
                  <w:sz w:val="18"/>
                  <w:szCs w:val="18"/>
                  <w:color w:val="0000EE"/>
                  <w:w w:val="87"/>
                </w:rPr>
                <w:t>Notes to the Consolidated Financial Statements</w:t>
              </w:r>
            </w:hyperlink>
          </w:p>
        </w:tc>
        <w:tc>
          <w:tcPr>
            <w:tcW w:w="1940" w:type="dxa"/>
            <w:vAlign w:val="bottom"/>
            <w:gridSpan w:val="3"/>
            <w:shd w:val="clear" w:color="auto" w:fill="CCEEFF"/>
          </w:tcPr>
          <w:p>
            <w:pPr>
              <w:spacing w:after="0"/>
              <w:rPr>
                <w:sz w:val="18"/>
                <w:szCs w:val="18"/>
                <w:color w:val="auto"/>
              </w:rPr>
            </w:pPr>
          </w:p>
        </w:tc>
        <w:tc>
          <w:tcPr>
            <w:tcW w:w="5320" w:type="dxa"/>
            <w:vAlign w:val="bottom"/>
            <w:gridSpan w:val="5"/>
            <w:shd w:val="clear" w:color="auto" w:fill="CCEEFF"/>
          </w:tcPr>
          <w:p>
            <w:pPr>
              <w:spacing w:after="0"/>
              <w:rPr>
                <w:sz w:val="18"/>
                <w:szCs w:val="18"/>
                <w:color w:val="auto"/>
              </w:rPr>
            </w:pPr>
          </w:p>
        </w:tc>
        <w:tc>
          <w:tcPr>
            <w:tcW w:w="500" w:type="dxa"/>
            <w:vAlign w:val="bottom"/>
            <w:gridSpan w:val="2"/>
            <w:shd w:val="clear" w:color="auto" w:fill="CCEEFF"/>
          </w:tcPr>
          <w:p>
            <w:pPr>
              <w:jc w:val="center"/>
              <w:ind w:left="232"/>
              <w:spacing w:after="0" w:line="192"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96</w:t>
              </w:r>
            </w:hyperlink>
          </w:p>
        </w:tc>
        <w:tc>
          <w:tcPr>
            <w:tcW w:w="300" w:type="dxa"/>
            <w:vAlign w:val="bottom"/>
            <w:shd w:val="clear" w:color="auto" w:fill="CCEEFF"/>
          </w:tcPr>
          <w:p>
            <w:pPr>
              <w:spacing w:after="0"/>
              <w:rPr>
                <w:sz w:val="18"/>
                <w:szCs w:val="18"/>
                <w:color w:val="auto"/>
              </w:rPr>
            </w:pPr>
          </w:p>
        </w:tc>
      </w:tr>
      <w:tr>
        <w:trPr>
          <w:trHeight w:val="636"/>
        </w:trPr>
        <w:tc>
          <w:tcPr>
            <w:tcW w:w="3360" w:type="dxa"/>
            <w:vAlign w:val="bottom"/>
            <w:tcBorders>
              <w:top w:val="single" w:sz="8" w:color="0000EE"/>
              <w:bottom w:val="single" w:sz="8" w:color="auto"/>
            </w:tcBorders>
          </w:tcPr>
          <w:p>
            <w:pPr>
              <w:spacing w:after="0"/>
              <w:rPr>
                <w:sz w:val="24"/>
                <w:szCs w:val="24"/>
                <w:color w:val="auto"/>
              </w:rPr>
            </w:pPr>
          </w:p>
        </w:tc>
        <w:tc>
          <w:tcPr>
            <w:tcW w:w="2660" w:type="dxa"/>
            <w:vAlign w:val="bottom"/>
            <w:tcBorders>
              <w:top w:val="single" w:sz="8" w:color="CCEEFF"/>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rPr>
              <w:t>77</w:t>
            </w:r>
          </w:p>
        </w:tc>
        <w:tc>
          <w:tcPr>
            <w:tcW w:w="82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0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890"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Management of Horizon Technology Finance Corporation (the “Company”) is responsible for establishing and maintaining adequate internal control over the Company’s financial reporting. The Company’s internal control system is a process designed to provide reasonable assurance to management and the board of directors regarding the preparation and fair presentation of published financial statements.</w:t>
      </w:r>
    </w:p>
    <w:p>
      <w:pPr>
        <w:spacing w:after="0" w:line="18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The Company’s policies and procedures also provide reasonable assurance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the Company’s financial statements.</w:t>
      </w:r>
    </w:p>
    <w:p>
      <w:pPr>
        <w:spacing w:after="0" w:line="15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as to future periods are subject to the risk that controls may become inadequate because of changes in conditions, or that the degree of compliance with the policies or procedures may deteriorate.</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2018.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in 2013. Based on the assessment, management believes that, as of December 31, 2018, the Company’s internal control over financial reporting is effective based on those criteria.</w:t>
      </w:r>
    </w:p>
    <w:p>
      <w:pPr>
        <w:spacing w:after="0" w:line="19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Company’s independent registered public accounting firm that audited the financial statements has issued an audit report on the effectiveness of the Company’s internal control over financial reporting as of December 31, 2018, which appears in this annual report on Form 10-K.</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Horizon Technology Finance Corporation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have audited the accompanying consolidated statements of assets and liabilities, including the consolidated schedules of investments, of Horizon Technology Finance Corporation and Subsidiaries (the Company) as of December 31, 2018 and 2017, and the related consolidated statements of operations, changes in net assets and cash flows for each of the three years in the period ended December 31, 2018, and the related notes to the consolidated financial statements (collectively,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2018, based on criteria established in Internal Control — Integrated Framework issued by the Committee of Sponsoring Organizations of the Treadway Commission in 2013, and our report dated March 5, 2019, expressed an unqualified opinion on the effectiveness of the Company’s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4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December 31, 2018 and 2017, by correspondence with the custodian or borrower or by other appropriate auditing procedures where replies from the custodian or borrower were not received.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6290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2902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5, 2019</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Horizon Technology Finance Corporation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22"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We have audited Horizon Technology Finance Corporation and Subsidiaries’ (the Company) internal control over financial reporting as of December 31, 2018, based on criteria established in Internal Control — Integrated Framework issued by the Committee of Sponsoring Organizations of the Treadway Commission in 2013. In our opinion, the Company maintained, in all material respects, effective internal control over financial reporting as of December 31, 2018, based on criteria established in Internal Control — Integrated Framework issued by the Committee of Sponsoring Organizations of the Treadway Commission in 2013.</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statements of assets and liabilities of the Company, including the consolidated schedules of investments, as of December 31, 2018 and 2017, and the related consolidated statements of operations, changes in net assets, and cash flows for each of the three years in the period ended December 31, 2018, and our report dated March 5, 2019 expressed an unqualified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6290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2902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5, 2019</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560" w:type="dxa"/>
            <w:vAlign w:val="bottom"/>
          </w:tcPr>
          <w:p>
            <w:pPr>
              <w:jc w:val="center"/>
              <w:ind w:left="2752"/>
              <w:spacing w:after="0"/>
              <w:rPr>
                <w:sz w:val="20"/>
                <w:szCs w:val="20"/>
                <w:color w:val="auto"/>
              </w:rPr>
            </w:pPr>
            <w:r>
              <w:rPr>
                <w:rFonts w:ascii="Arial" w:cs="Arial" w:eastAsia="Arial" w:hAnsi="Arial"/>
                <w:sz w:val="18"/>
                <w:szCs w:val="18"/>
                <w:b w:val="1"/>
                <w:bCs w:val="1"/>
                <w:color w:val="auto"/>
                <w:w w:val="88"/>
              </w:rPr>
              <w:t>Horizon Technology Finance Corporation and Subsidiaries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8560" w:type="dxa"/>
            <w:vAlign w:val="bottom"/>
          </w:tcPr>
          <w:p>
            <w:pPr>
              <w:jc w:val="center"/>
              <w:ind w:left="2732"/>
              <w:spacing w:after="0"/>
              <w:rPr>
                <w:sz w:val="20"/>
                <w:szCs w:val="20"/>
                <w:color w:val="auto"/>
              </w:rPr>
            </w:pPr>
            <w:r>
              <w:rPr>
                <w:rFonts w:ascii="Arial" w:cs="Arial" w:eastAsia="Arial" w:hAnsi="Arial"/>
                <w:sz w:val="18"/>
                <w:szCs w:val="18"/>
                <w:b w:val="1"/>
                <w:bCs w:val="1"/>
                <w:color w:val="auto"/>
                <w:w w:val="86"/>
              </w:rPr>
              <w:t>Consolidated Statements of Assets and Liabilities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60" w:type="dxa"/>
            <w:vAlign w:val="bottom"/>
          </w:tcPr>
          <w:p>
            <w:pPr>
              <w:jc w:val="center"/>
              <w:ind w:left="2732"/>
              <w:spacing w:after="0"/>
              <w:rPr>
                <w:sz w:val="20"/>
                <w:szCs w:val="20"/>
                <w:color w:val="auto"/>
              </w:rPr>
            </w:pPr>
            <w:r>
              <w:rPr>
                <w:rFonts w:ascii="Arial" w:cs="Arial" w:eastAsia="Arial" w:hAnsi="Arial"/>
                <w:sz w:val="18"/>
                <w:szCs w:val="18"/>
                <w:b w:val="1"/>
                <w:bCs w:val="1"/>
                <w:color w:val="auto"/>
                <w:w w:val="87"/>
              </w:rPr>
              <w:t>(In thousands, except share and per share data)</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84"/>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Non-affiliate investments at fair value (cost of $229,772 and $219,303, respectively)</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227,624</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218,600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Non-controlled affiliate investments at fair value (cost of $7,887 and $3,774, respectively) (Note 5)</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7,574</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Controlled affiliate investments at fair value (cost of $13,262 and $0, respectively) (Note 5)</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13,243</w:t>
            </w:r>
          </w:p>
        </w:tc>
        <w:tc>
          <w:tcPr>
            <w:tcW w:w="44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 at fair value (cost of $250,921 and $223,077, respectively) (Note 4)</w:t>
            </w: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248,441</w:t>
            </w: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222,099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12,591</w:t>
            </w: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6,594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3,966</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266,749</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234,146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8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Borrowings (Note 7)</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126,853</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94,075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3,461</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Base management fee payable (Note 3)</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422</w:t>
            </w: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(Note 3)</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765</w:t>
            </w: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132,492</w:t>
            </w: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8 and 9)</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60" w:type="dxa"/>
            <w:vAlign w:val="bottom"/>
          </w:tcPr>
          <w:p>
            <w:pPr>
              <w:spacing w:after="0" w:line="200" w:lineRule="exact"/>
              <w:rPr>
                <w:sz w:val="20"/>
                <w:szCs w:val="20"/>
                <w:color w:val="auto"/>
              </w:rPr>
            </w:pPr>
            <w:r>
              <w:rPr>
                <w:rFonts w:ascii="Arial" w:cs="Arial" w:eastAsia="Arial" w:hAnsi="Arial"/>
                <w:sz w:val="18"/>
                <w:szCs w:val="18"/>
                <w:color w:val="auto"/>
                <w:w w:val="92"/>
              </w:rPr>
              <w:t>Preferred stock, par value $0.001 per share, 1,000,000 shares authorized, zero shares issued and outstanding as of</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20"/>
              <w:spacing w:after="0"/>
              <w:rPr>
                <w:sz w:val="20"/>
                <w:szCs w:val="20"/>
                <w:color w:val="auto"/>
              </w:rPr>
            </w:pPr>
            <w:r>
              <w:rPr>
                <w:rFonts w:ascii="Arial" w:cs="Arial" w:eastAsia="Arial" w:hAnsi="Arial"/>
                <w:sz w:val="18"/>
                <w:szCs w:val="18"/>
                <w:color w:val="auto"/>
              </w:rPr>
              <w:t>December 31, 2018 and 2017</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Common stock, par value $0.001 per share, 100,000,000 shares authorized, 11,702,594 and 11,687,871 shares issued</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11,535,129 and 11,520,406 shares outstanding as of December 31, 2018 and 2017, respectively</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Paid-in capital in excess of par</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179,616</w:t>
            </w: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179,641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560" w:type="dxa"/>
            <w:vAlign w:val="bottom"/>
            <w:shd w:val="clear" w:color="auto" w:fill="CCEEFF"/>
          </w:tcPr>
          <w:p>
            <w:pPr>
              <w:spacing w:after="0" w:line="265" w:lineRule="exact"/>
              <w:rPr>
                <w:sz w:val="20"/>
                <w:szCs w:val="20"/>
                <w:color w:val="auto"/>
              </w:rPr>
            </w:pPr>
            <w:r>
              <w:rPr>
                <w:rFonts w:ascii="Arial" w:cs="Arial" w:eastAsia="Arial" w:hAnsi="Arial"/>
                <w:sz w:val="18"/>
                <w:szCs w:val="18"/>
                <w:color w:val="auto"/>
              </w:rPr>
              <w:t>Distributable earnings</w:t>
            </w:r>
            <w:r>
              <w:rPr>
                <w:rFonts w:ascii="Arial" w:cs="Arial" w:eastAsia="Arial" w:hAnsi="Arial"/>
                <w:sz w:val="29"/>
                <w:szCs w:val="29"/>
                <w:color w:val="auto"/>
                <w:vertAlign w:val="superscript"/>
              </w:rPr>
              <w:t>(1)</w:t>
            </w: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(45,371)</w:t>
            </w:r>
          </w:p>
        </w:tc>
        <w:tc>
          <w:tcPr>
            <w:tcW w:w="44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(44,578)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60" w:type="dxa"/>
            <w:vAlign w:val="bottom"/>
            <w:tcBorders>
              <w:bottom w:val="single" w:sz="8" w:color="CCEEFF"/>
            </w:tcBorders>
          </w:tcPr>
          <w:p>
            <w:pPr>
              <w:spacing w:after="0" w:line="206" w:lineRule="exact"/>
              <w:rPr>
                <w:sz w:val="20"/>
                <w:szCs w:val="20"/>
                <w:color w:val="auto"/>
              </w:rPr>
            </w:pPr>
            <w:r>
              <w:rPr>
                <w:rFonts w:ascii="Arial" w:cs="Arial" w:eastAsia="Arial" w:hAnsi="Arial"/>
                <w:sz w:val="18"/>
                <w:szCs w:val="18"/>
                <w:b w:val="1"/>
                <w:bCs w:val="1"/>
                <w:color w:val="auto"/>
              </w:rPr>
              <w:t>Total net assets</w:t>
            </w: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134,257</w:t>
            </w:r>
          </w:p>
        </w:tc>
        <w:tc>
          <w:tcPr>
            <w:tcW w:w="2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135,075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266,749</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234,146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common share</w:t>
            </w:r>
          </w:p>
        </w:tc>
        <w:tc>
          <w:tcPr>
            <w:tcW w:w="2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560" w:type="dxa"/>
            <w:vAlign w:val="bottom"/>
            <w:vMerge w:val="continue"/>
          </w:tcPr>
          <w:p>
            <w:pPr>
              <w:spacing w:after="0"/>
              <w:rPr>
                <w:sz w:val="16"/>
                <w:szCs w:val="16"/>
                <w:color w:val="auto"/>
              </w:rPr>
            </w:pPr>
          </w:p>
        </w:tc>
        <w:tc>
          <w:tcPr>
            <w:tcW w:w="280" w:type="dxa"/>
            <w:vAlign w:val="bottom"/>
            <w:tcBorders>
              <w:top w:val="single" w:sz="8" w:color="auto"/>
              <w:bottom w:val="single" w:sz="8" w:color="auto"/>
            </w:tcBorders>
          </w:tcPr>
          <w:p>
            <w:pPr>
              <w:jc w:val="right"/>
              <w:ind w:right="92"/>
              <w:spacing w:after="0" w:line="19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11.64</w:t>
            </w:r>
          </w:p>
        </w:tc>
        <w:tc>
          <w:tcPr>
            <w:tcW w:w="2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52"/>
              <w:spacing w:after="0" w:line="19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11.72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168275</wp:posOffset>
            </wp:positionV>
            <wp:extent cx="10858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8585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(1)  See Note 2. Basis of presentation and significant accounting policies.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29"/>
        </w:trPr>
        <w:tc>
          <w:tcPr>
            <w:tcW w:w="8520" w:type="dxa"/>
            <w:vAlign w:val="bottom"/>
            <w:gridSpan w:val="5"/>
          </w:tcPr>
          <w:p>
            <w:pPr>
              <w:jc w:val="center"/>
              <w:ind w:left="2832"/>
              <w:spacing w:after="0"/>
              <w:rPr>
                <w:sz w:val="20"/>
                <w:szCs w:val="20"/>
                <w:color w:val="auto"/>
              </w:rPr>
            </w:pPr>
            <w:r>
              <w:rPr>
                <w:rFonts w:ascii="Arial" w:cs="Arial" w:eastAsia="Arial" w:hAnsi="Arial"/>
                <w:sz w:val="18"/>
                <w:szCs w:val="18"/>
                <w:b w:val="1"/>
                <w:bCs w:val="1"/>
                <w:color w:val="auto"/>
                <w:w w:val="88"/>
              </w:rPr>
              <w:t>Horizon Technology Finance Corporation and Subsidiaries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7"/>
        </w:trPr>
        <w:tc>
          <w:tcPr>
            <w:tcW w:w="3820" w:type="dxa"/>
            <w:vAlign w:val="bottom"/>
          </w:tcPr>
          <w:p>
            <w:pPr>
              <w:spacing w:after="0"/>
              <w:rPr>
                <w:sz w:val="24"/>
                <w:szCs w:val="24"/>
                <w:color w:val="auto"/>
              </w:rPr>
            </w:pPr>
          </w:p>
        </w:tc>
        <w:tc>
          <w:tcPr>
            <w:tcW w:w="3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Consolidated Statements of Operations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3820" w:type="dxa"/>
            <w:vAlign w:val="bottom"/>
          </w:tcPr>
          <w:p>
            <w:pPr>
              <w:spacing w:after="0"/>
              <w:rPr>
                <w:sz w:val="19"/>
                <w:szCs w:val="19"/>
                <w:color w:val="auto"/>
              </w:rPr>
            </w:pPr>
          </w:p>
        </w:tc>
        <w:tc>
          <w:tcPr>
            <w:tcW w:w="3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 except share and per share data)</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8"/>
        </w:trPr>
        <w:tc>
          <w:tcPr>
            <w:tcW w:w="3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92"/>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382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05"/>
        </w:trPr>
        <w:tc>
          <w:tcPr>
            <w:tcW w:w="382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Investment income</w:t>
            </w:r>
          </w:p>
        </w:tc>
        <w:tc>
          <w:tcPr>
            <w:tcW w:w="3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3820" w:type="dxa"/>
            <w:vAlign w:val="bottom"/>
          </w:tcPr>
          <w:p>
            <w:pPr>
              <w:spacing w:after="0"/>
              <w:rPr>
                <w:sz w:val="20"/>
                <w:szCs w:val="20"/>
                <w:color w:val="auto"/>
              </w:rPr>
            </w:pPr>
            <w:r>
              <w:rPr>
                <w:rFonts w:ascii="Arial" w:cs="Arial" w:eastAsia="Arial" w:hAnsi="Arial"/>
                <w:sz w:val="18"/>
                <w:szCs w:val="18"/>
                <w:color w:val="auto"/>
              </w:rPr>
              <w:t>Interest income on non-affiliate investments</w:t>
            </w:r>
          </w:p>
        </w:tc>
        <w:tc>
          <w:tcPr>
            <w:tcW w:w="3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3"/>
              <w:spacing w:after="0"/>
              <w:rPr>
                <w:sz w:val="20"/>
                <w:szCs w:val="20"/>
                <w:color w:val="auto"/>
              </w:rPr>
            </w:pPr>
            <w:r>
              <w:rPr>
                <w:rFonts w:ascii="Arial" w:cs="Arial" w:eastAsia="Arial" w:hAnsi="Arial"/>
                <w:sz w:val="18"/>
                <w:szCs w:val="18"/>
                <w:color w:val="auto"/>
              </w:rPr>
              <w:t>28,061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23,538</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3"/>
              <w:spacing w:after="0"/>
              <w:rPr>
                <w:sz w:val="20"/>
                <w:szCs w:val="20"/>
                <w:color w:val="auto"/>
              </w:rPr>
            </w:pPr>
            <w:r>
              <w:rPr>
                <w:rFonts w:ascii="Arial" w:cs="Arial" w:eastAsia="Arial" w:hAnsi="Arial"/>
                <w:sz w:val="18"/>
                <w:szCs w:val="18"/>
                <w:color w:val="auto"/>
              </w:rPr>
              <w:t>31,397</w:t>
            </w:r>
          </w:p>
        </w:tc>
      </w:tr>
      <w:tr>
        <w:trPr>
          <w:trHeight w:val="225"/>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affiliate investments</w:t>
            </w:r>
          </w:p>
        </w:tc>
        <w:tc>
          <w:tcPr>
            <w:tcW w:w="3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r>
      <w:tr>
        <w:trPr>
          <w:trHeight w:val="205"/>
        </w:trPr>
        <w:tc>
          <w:tcPr>
            <w:tcW w:w="3820" w:type="dxa"/>
            <w:vAlign w:val="bottom"/>
            <w:tcBorders>
              <w:bottom w:val="single" w:sz="8" w:color="CCEEFF"/>
            </w:tcBorders>
          </w:tcPr>
          <w:p>
            <w:pPr>
              <w:spacing w:after="0" w:line="206" w:lineRule="exact"/>
              <w:rPr>
                <w:sz w:val="20"/>
                <w:szCs w:val="20"/>
                <w:color w:val="auto"/>
              </w:rPr>
            </w:pPr>
            <w:r>
              <w:rPr>
                <w:rFonts w:ascii="Arial" w:cs="Arial" w:eastAsia="Arial" w:hAnsi="Arial"/>
                <w:sz w:val="18"/>
                <w:szCs w:val="18"/>
                <w:b w:val="1"/>
                <w:bCs w:val="1"/>
                <w:color w:val="auto"/>
              </w:rPr>
              <w:t>Total interest income on investments</w:t>
            </w:r>
          </w:p>
        </w:tc>
        <w:tc>
          <w:tcPr>
            <w:tcW w:w="328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28,786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23,763</w:t>
            </w:r>
          </w:p>
        </w:tc>
        <w:tc>
          <w:tcPr>
            <w:tcW w:w="2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31,397</w:t>
            </w:r>
          </w:p>
        </w:tc>
        <w:tc>
          <w:tcPr>
            <w:tcW w:w="100" w:type="dxa"/>
            <w:vAlign w:val="bottom"/>
            <w:tcBorders>
              <w:bottom w:val="single" w:sz="8" w:color="CCEEFF"/>
            </w:tcBorders>
          </w:tcPr>
          <w:p>
            <w:pPr>
              <w:spacing w:after="0"/>
              <w:rPr>
                <w:sz w:val="17"/>
                <w:szCs w:val="17"/>
                <w:color w:val="auto"/>
              </w:rPr>
            </w:pPr>
          </w:p>
        </w:tc>
      </w:tr>
      <w:tr>
        <w:trPr>
          <w:trHeight w:val="205"/>
        </w:trPr>
        <w:tc>
          <w:tcPr>
            <w:tcW w:w="382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Fee income</w:t>
            </w:r>
          </w:p>
        </w:tc>
        <w:tc>
          <w:tcPr>
            <w:tcW w:w="3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3820" w:type="dxa"/>
            <w:vAlign w:val="bottom"/>
          </w:tcPr>
          <w:p>
            <w:pPr>
              <w:spacing w:after="0"/>
              <w:rPr>
                <w:sz w:val="20"/>
                <w:szCs w:val="20"/>
                <w:color w:val="auto"/>
              </w:rPr>
            </w:pPr>
            <w:r>
              <w:rPr>
                <w:rFonts w:ascii="Arial" w:cs="Arial" w:eastAsia="Arial" w:hAnsi="Arial"/>
                <w:sz w:val="18"/>
                <w:szCs w:val="18"/>
                <w:color w:val="auto"/>
                <w:w w:val="91"/>
              </w:rPr>
              <w:t>Prepayment fee income on non-affiliate investments</w:t>
            </w:r>
          </w:p>
        </w:tc>
        <w:tc>
          <w:tcPr>
            <w:tcW w:w="3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3"/>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1,432</w:t>
            </w:r>
          </w:p>
        </w:tc>
        <w:tc>
          <w:tcPr>
            <w:tcW w:w="300" w:type="dxa"/>
            <w:vAlign w:val="bottom"/>
          </w:tcPr>
          <w:p>
            <w:pPr>
              <w:spacing w:after="0"/>
              <w:rPr>
                <w:sz w:val="18"/>
                <w:szCs w:val="18"/>
                <w:color w:val="auto"/>
              </w:rPr>
            </w:pPr>
          </w:p>
        </w:tc>
        <w:tc>
          <w:tcPr>
            <w:tcW w:w="1060" w:type="dxa"/>
            <w:vAlign w:val="bottom"/>
            <w:gridSpan w:val="2"/>
          </w:tcPr>
          <w:p>
            <w:pPr>
              <w:jc w:val="right"/>
              <w:ind w:right="23"/>
              <w:spacing w:after="0"/>
              <w:rPr>
                <w:sz w:val="20"/>
                <w:szCs w:val="20"/>
                <w:color w:val="auto"/>
              </w:rPr>
            </w:pPr>
            <w:r>
              <w:rPr>
                <w:rFonts w:ascii="Arial" w:cs="Arial" w:eastAsia="Arial" w:hAnsi="Arial"/>
                <w:sz w:val="18"/>
                <w:szCs w:val="18"/>
                <w:color w:val="auto"/>
              </w:rPr>
              <w:t>794</w:t>
            </w:r>
          </w:p>
        </w:tc>
      </w:tr>
      <w:tr>
        <w:trPr>
          <w:trHeight w:val="212"/>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Fee income on non-affiliate investments</w:t>
            </w:r>
          </w:p>
        </w:tc>
        <w:tc>
          <w:tcPr>
            <w:tcW w:w="3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567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793</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Fee income on affiliate investments</w:t>
            </w:r>
          </w:p>
        </w:tc>
        <w:tc>
          <w:tcPr>
            <w:tcW w:w="3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0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r>
      <w:tr>
        <w:trPr>
          <w:trHeight w:val="206"/>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3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3820" w:type="dxa"/>
            <w:vAlign w:val="bottom"/>
          </w:tcPr>
          <w:p>
            <w:pPr>
              <w:spacing w:after="0" w:line="206" w:lineRule="exact"/>
              <w:rPr>
                <w:sz w:val="20"/>
                <w:szCs w:val="20"/>
                <w:color w:val="auto"/>
              </w:rPr>
            </w:pPr>
            <w:r>
              <w:rPr>
                <w:rFonts w:ascii="Arial" w:cs="Arial" w:eastAsia="Arial" w:hAnsi="Arial"/>
                <w:sz w:val="18"/>
                <w:szCs w:val="18"/>
                <w:b w:val="1"/>
                <w:bCs w:val="1"/>
                <w:color w:val="auto"/>
              </w:rPr>
              <w:t>Dividend income</w:t>
            </w:r>
          </w:p>
        </w:tc>
        <w:tc>
          <w:tcPr>
            <w:tcW w:w="3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4"/>
              </w:rPr>
              <w:t>Dividend income on controlled affiliate investments</w:t>
            </w:r>
          </w:p>
        </w:tc>
        <w:tc>
          <w:tcPr>
            <w:tcW w:w="3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r>
      <w:tr>
        <w:trPr>
          <w:trHeight w:val="205"/>
        </w:trPr>
        <w:tc>
          <w:tcPr>
            <w:tcW w:w="3820" w:type="dxa"/>
            <w:vAlign w:val="bottom"/>
            <w:tcBorders>
              <w:bottom w:val="single" w:sz="8" w:color="CCEEFF"/>
            </w:tcBorders>
          </w:tcPr>
          <w:p>
            <w:pPr>
              <w:spacing w:after="0" w:line="206" w:lineRule="exact"/>
              <w:rPr>
                <w:sz w:val="20"/>
                <w:szCs w:val="20"/>
                <w:color w:val="auto"/>
              </w:rPr>
            </w:pPr>
            <w:r>
              <w:rPr>
                <w:rFonts w:ascii="Arial" w:cs="Arial" w:eastAsia="Arial" w:hAnsi="Arial"/>
                <w:sz w:val="18"/>
                <w:szCs w:val="18"/>
                <w:b w:val="1"/>
                <w:bCs w:val="1"/>
                <w:color w:val="auto"/>
              </w:rPr>
              <w:t>Total dividend income</w:t>
            </w:r>
          </w:p>
        </w:tc>
        <w:tc>
          <w:tcPr>
            <w:tcW w:w="328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255</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7"/>
                <w:szCs w:val="17"/>
                <w:color w:val="auto"/>
              </w:rPr>
            </w:pPr>
          </w:p>
        </w:tc>
      </w:tr>
      <w:tr>
        <w:trPr>
          <w:trHeight w:val="205"/>
        </w:trPr>
        <w:tc>
          <w:tcPr>
            <w:tcW w:w="382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Total investment income</w:t>
            </w:r>
          </w:p>
        </w:tc>
        <w:tc>
          <w:tcPr>
            <w:tcW w:w="32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31,090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25,777</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32,984</w:t>
            </w:r>
          </w:p>
        </w:tc>
        <w:tc>
          <w:tcPr>
            <w:tcW w:w="100" w:type="dxa"/>
            <w:vAlign w:val="bottom"/>
            <w:shd w:val="clear" w:color="auto" w:fill="CCEEFF"/>
          </w:tcPr>
          <w:p>
            <w:pPr>
              <w:spacing w:after="0"/>
              <w:rPr>
                <w:sz w:val="17"/>
                <w:szCs w:val="17"/>
                <w:color w:val="auto"/>
              </w:rPr>
            </w:pPr>
          </w:p>
        </w:tc>
      </w:tr>
      <w:tr>
        <w:trPr>
          <w:trHeight w:val="205"/>
        </w:trPr>
        <w:tc>
          <w:tcPr>
            <w:tcW w:w="3820" w:type="dxa"/>
            <w:vAlign w:val="bottom"/>
          </w:tcPr>
          <w:p>
            <w:pPr>
              <w:spacing w:after="0" w:line="206" w:lineRule="exact"/>
              <w:rPr>
                <w:sz w:val="20"/>
                <w:szCs w:val="20"/>
                <w:color w:val="auto"/>
              </w:rPr>
            </w:pPr>
            <w:r>
              <w:rPr>
                <w:rFonts w:ascii="Arial" w:cs="Arial" w:eastAsia="Arial" w:hAnsi="Arial"/>
                <w:sz w:val="18"/>
                <w:szCs w:val="18"/>
                <w:b w:val="1"/>
                <w:bCs w:val="1"/>
                <w:color w:val="auto"/>
              </w:rPr>
              <w:t>Expenses</w:t>
            </w:r>
          </w:p>
        </w:tc>
        <w:tc>
          <w:tcPr>
            <w:tcW w:w="3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6,363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5,167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5,878</w:t>
            </w:r>
          </w:p>
        </w:tc>
      </w:tr>
      <w:tr>
        <w:trPr>
          <w:trHeight w:val="212"/>
        </w:trPr>
        <w:tc>
          <w:tcPr>
            <w:tcW w:w="3820" w:type="dxa"/>
            <w:vAlign w:val="bottom"/>
          </w:tcPr>
          <w:p>
            <w:pPr>
              <w:spacing w:after="0"/>
              <w:rPr>
                <w:sz w:val="20"/>
                <w:szCs w:val="20"/>
                <w:color w:val="auto"/>
              </w:rPr>
            </w:pPr>
            <w:r>
              <w:rPr>
                <w:rFonts w:ascii="Arial" w:cs="Arial" w:eastAsia="Arial" w:hAnsi="Arial"/>
                <w:sz w:val="18"/>
                <w:szCs w:val="18"/>
                <w:color w:val="auto"/>
              </w:rPr>
              <w:t>Base management fee (Note 3)</w:t>
            </w:r>
          </w:p>
        </w:tc>
        <w:tc>
          <w:tcPr>
            <w:tcW w:w="3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3"/>
              <w:spacing w:after="0"/>
              <w:rPr>
                <w:sz w:val="20"/>
                <w:szCs w:val="20"/>
                <w:color w:val="auto"/>
              </w:rPr>
            </w:pPr>
            <w:r>
              <w:rPr>
                <w:rFonts w:ascii="Arial" w:cs="Arial" w:eastAsia="Arial" w:hAnsi="Arial"/>
                <w:sz w:val="18"/>
                <w:szCs w:val="18"/>
                <w:color w:val="auto"/>
              </w:rPr>
              <w:t>4,578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3,786</w:t>
            </w:r>
          </w:p>
        </w:tc>
        <w:tc>
          <w:tcPr>
            <w:tcW w:w="300" w:type="dxa"/>
            <w:vAlign w:val="bottom"/>
          </w:tcPr>
          <w:p>
            <w:pPr>
              <w:spacing w:after="0"/>
              <w:rPr>
                <w:sz w:val="18"/>
                <w:szCs w:val="18"/>
                <w:color w:val="auto"/>
              </w:rPr>
            </w:pPr>
          </w:p>
        </w:tc>
        <w:tc>
          <w:tcPr>
            <w:tcW w:w="1060" w:type="dxa"/>
            <w:vAlign w:val="bottom"/>
            <w:gridSpan w:val="2"/>
          </w:tcPr>
          <w:p>
            <w:pPr>
              <w:jc w:val="right"/>
              <w:ind w:right="23"/>
              <w:spacing w:after="0"/>
              <w:rPr>
                <w:sz w:val="20"/>
                <w:szCs w:val="20"/>
                <w:color w:val="auto"/>
              </w:rPr>
            </w:pPr>
            <w:r>
              <w:rPr>
                <w:rFonts w:ascii="Arial" w:cs="Arial" w:eastAsia="Arial" w:hAnsi="Arial"/>
                <w:sz w:val="18"/>
                <w:szCs w:val="18"/>
                <w:color w:val="auto"/>
              </w:rPr>
              <w:t>4,727</w:t>
            </w:r>
          </w:p>
        </w:tc>
      </w:tr>
      <w:tr>
        <w:trPr>
          <w:trHeight w:val="212"/>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Performance based incentive fee (Note 3)</w:t>
            </w:r>
          </w:p>
        </w:tc>
        <w:tc>
          <w:tcPr>
            <w:tcW w:w="3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4,393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1,714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2,126</w:t>
            </w:r>
          </w:p>
        </w:tc>
      </w:tr>
      <w:tr>
        <w:trPr>
          <w:trHeight w:val="212"/>
        </w:trPr>
        <w:tc>
          <w:tcPr>
            <w:tcW w:w="3820" w:type="dxa"/>
            <w:vAlign w:val="bottom"/>
          </w:tcPr>
          <w:p>
            <w:pPr>
              <w:spacing w:after="0"/>
              <w:rPr>
                <w:sz w:val="20"/>
                <w:szCs w:val="20"/>
                <w:color w:val="auto"/>
              </w:rPr>
            </w:pPr>
            <w:r>
              <w:rPr>
                <w:rFonts w:ascii="Arial" w:cs="Arial" w:eastAsia="Arial" w:hAnsi="Arial"/>
                <w:sz w:val="18"/>
                <w:szCs w:val="18"/>
                <w:color w:val="auto"/>
              </w:rPr>
              <w:t>Administrative fee (Note 3)</w:t>
            </w:r>
          </w:p>
        </w:tc>
        <w:tc>
          <w:tcPr>
            <w:tcW w:w="3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3"/>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699</w:t>
            </w:r>
          </w:p>
        </w:tc>
        <w:tc>
          <w:tcPr>
            <w:tcW w:w="300" w:type="dxa"/>
            <w:vAlign w:val="bottom"/>
          </w:tcPr>
          <w:p>
            <w:pPr>
              <w:spacing w:after="0"/>
              <w:rPr>
                <w:sz w:val="18"/>
                <w:szCs w:val="18"/>
                <w:color w:val="auto"/>
              </w:rPr>
            </w:pPr>
          </w:p>
        </w:tc>
        <w:tc>
          <w:tcPr>
            <w:tcW w:w="1060" w:type="dxa"/>
            <w:vAlign w:val="bottom"/>
            <w:gridSpan w:val="2"/>
          </w:tcPr>
          <w:p>
            <w:pPr>
              <w:jc w:val="right"/>
              <w:ind w:right="23"/>
              <w:spacing w:after="0"/>
              <w:rPr>
                <w:sz w:val="20"/>
                <w:szCs w:val="20"/>
                <w:color w:val="auto"/>
              </w:rPr>
            </w:pPr>
            <w:r>
              <w:rPr>
                <w:rFonts w:ascii="Arial" w:cs="Arial" w:eastAsia="Arial" w:hAnsi="Arial"/>
                <w:sz w:val="18"/>
                <w:szCs w:val="18"/>
                <w:color w:val="auto"/>
              </w:rPr>
              <w:t>869</w:t>
            </w:r>
          </w:p>
        </w:tc>
      </w:tr>
      <w:tr>
        <w:trPr>
          <w:trHeight w:val="212"/>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1,365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1,486</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3"/>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803</w:t>
            </w:r>
          </w:p>
        </w:tc>
        <w:tc>
          <w:tcPr>
            <w:tcW w:w="300" w:type="dxa"/>
            <w:vAlign w:val="bottom"/>
          </w:tcPr>
          <w:p>
            <w:pPr>
              <w:spacing w:after="0"/>
              <w:rPr>
                <w:sz w:val="19"/>
                <w:szCs w:val="19"/>
                <w:color w:val="auto"/>
              </w:rPr>
            </w:pPr>
          </w:p>
        </w:tc>
        <w:tc>
          <w:tcPr>
            <w:tcW w:w="1060" w:type="dxa"/>
            <w:vAlign w:val="bottom"/>
            <w:gridSpan w:val="2"/>
          </w:tcPr>
          <w:p>
            <w:pPr>
              <w:jc w:val="right"/>
              <w:ind w:right="23"/>
              <w:spacing w:after="0"/>
              <w:rPr>
                <w:sz w:val="20"/>
                <w:szCs w:val="20"/>
                <w:color w:val="auto"/>
              </w:rPr>
            </w:pPr>
            <w:r>
              <w:rPr>
                <w:rFonts w:ascii="Arial" w:cs="Arial" w:eastAsia="Arial" w:hAnsi="Arial"/>
                <w:sz w:val="18"/>
                <w:szCs w:val="18"/>
                <w:color w:val="auto"/>
              </w:rPr>
              <w:t>886</w:t>
            </w:r>
          </w:p>
        </w:tc>
      </w:tr>
      <w:tr>
        <w:trPr>
          <w:trHeight w:val="206"/>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3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13,534</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38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w w:val="94"/>
              </w:rPr>
              <w:t>Performance based incentive fees waived (Note 3)</w:t>
            </w:r>
          </w:p>
        </w:tc>
        <w:tc>
          <w:tcPr>
            <w:tcW w:w="32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(1,184</w:t>
            </w:r>
          </w:p>
        </w:tc>
        <w:tc>
          <w:tcPr>
            <w:tcW w:w="14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w w:val="79"/>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(79</w:t>
            </w:r>
          </w:p>
        </w:tc>
        <w:tc>
          <w:tcPr>
            <w:tcW w:w="200" w:type="dxa"/>
            <w:vAlign w:val="bottom"/>
            <w:tcBorders>
              <w:bottom w:val="single" w:sz="8" w:color="CCEEFF"/>
            </w:tcBorders>
          </w:tcPr>
          <w:p>
            <w:pPr>
              <w:jc w:val="right"/>
              <w:ind w:right="63"/>
              <w:spacing w:after="0"/>
              <w:rPr>
                <w:sz w:val="20"/>
                <w:szCs w:val="20"/>
                <w:color w:val="auto"/>
              </w:rPr>
            </w:pPr>
            <w:r>
              <w:rPr>
                <w:rFonts w:ascii="Arial" w:cs="Arial" w:eastAsia="Arial" w:hAnsi="Arial"/>
                <w:sz w:val="15"/>
                <w:szCs w:val="15"/>
                <w:color w:val="auto"/>
                <w:w w:val="79"/>
              </w:rPr>
              <w:t>)</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7"/>
                <w:szCs w:val="17"/>
                <w:color w:val="auto"/>
              </w:rPr>
            </w:pPr>
          </w:p>
        </w:tc>
      </w:tr>
      <w:tr>
        <w:trPr>
          <w:trHeight w:val="205"/>
        </w:trPr>
        <w:tc>
          <w:tcPr>
            <w:tcW w:w="382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Net expenses</w:t>
            </w:r>
          </w:p>
        </w:tc>
        <w:tc>
          <w:tcPr>
            <w:tcW w:w="32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17,190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13,455</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15,972</w:t>
            </w:r>
          </w:p>
        </w:tc>
        <w:tc>
          <w:tcPr>
            <w:tcW w:w="100" w:type="dxa"/>
            <w:vAlign w:val="bottom"/>
            <w:shd w:val="clear" w:color="auto" w:fill="CCEEFF"/>
          </w:tcPr>
          <w:p>
            <w:pPr>
              <w:spacing w:after="0"/>
              <w:rPr>
                <w:sz w:val="17"/>
                <w:szCs w:val="17"/>
                <w:color w:val="auto"/>
              </w:rPr>
            </w:pPr>
          </w:p>
        </w:tc>
      </w:tr>
      <w:tr>
        <w:trPr>
          <w:trHeight w:val="205"/>
        </w:trPr>
        <w:tc>
          <w:tcPr>
            <w:tcW w:w="3820" w:type="dxa"/>
            <w:vAlign w:val="bottom"/>
            <w:tcBorders>
              <w:bottom w:val="single" w:sz="8" w:color="CCEEFF"/>
            </w:tcBorders>
          </w:tcPr>
          <w:p>
            <w:pPr>
              <w:spacing w:after="0" w:line="206" w:lineRule="exact"/>
              <w:rPr>
                <w:sz w:val="20"/>
                <w:szCs w:val="20"/>
                <w:color w:val="auto"/>
              </w:rPr>
            </w:pPr>
            <w:r>
              <w:rPr>
                <w:rFonts w:ascii="Arial" w:cs="Arial" w:eastAsia="Arial" w:hAnsi="Arial"/>
                <w:sz w:val="18"/>
                <w:szCs w:val="18"/>
                <w:b w:val="1"/>
                <w:bCs w:val="1"/>
                <w:color w:val="auto"/>
              </w:rPr>
              <w:t>Net investment income before excise tax</w:t>
            </w:r>
          </w:p>
        </w:tc>
        <w:tc>
          <w:tcPr>
            <w:tcW w:w="32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13,900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12,322</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17,012</w:t>
            </w:r>
          </w:p>
        </w:tc>
        <w:tc>
          <w:tcPr>
            <w:tcW w:w="100" w:type="dxa"/>
            <w:vAlign w:val="bottom"/>
            <w:tcBorders>
              <w:bottom w:val="single" w:sz="8" w:color="CCEEFF"/>
            </w:tcBorders>
          </w:tcPr>
          <w:p>
            <w:pPr>
              <w:spacing w:after="0"/>
              <w:rPr>
                <w:sz w:val="17"/>
                <w:szCs w:val="17"/>
                <w:color w:val="auto"/>
              </w:rPr>
            </w:pPr>
          </w:p>
        </w:tc>
      </w:tr>
      <w:tr>
        <w:trPr>
          <w:trHeight w:val="205"/>
        </w:trPr>
        <w:tc>
          <w:tcPr>
            <w:tcW w:w="3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Provision (credit) for excise tax (Note 8)</w:t>
            </w:r>
          </w:p>
        </w:tc>
        <w:tc>
          <w:tcPr>
            <w:tcW w:w="32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w:t>
            </w:r>
          </w:p>
        </w:tc>
      </w:tr>
      <w:tr>
        <w:trPr>
          <w:trHeight w:val="205"/>
        </w:trPr>
        <w:tc>
          <w:tcPr>
            <w:tcW w:w="3820" w:type="dxa"/>
            <w:vAlign w:val="bottom"/>
            <w:tcBorders>
              <w:bottom w:val="single" w:sz="8" w:color="CCEEFF"/>
            </w:tcBorders>
          </w:tcPr>
          <w:p>
            <w:pPr>
              <w:spacing w:after="0" w:line="206" w:lineRule="exact"/>
              <w:rPr>
                <w:sz w:val="20"/>
                <w:szCs w:val="20"/>
                <w:color w:val="auto"/>
              </w:rPr>
            </w:pPr>
            <w:r>
              <w:rPr>
                <w:rFonts w:ascii="Arial" w:cs="Arial" w:eastAsia="Arial" w:hAnsi="Arial"/>
                <w:sz w:val="18"/>
                <w:szCs w:val="18"/>
                <w:b w:val="1"/>
                <w:bCs w:val="1"/>
                <w:color w:val="auto"/>
              </w:rPr>
              <w:t>Net investment income</w:t>
            </w:r>
          </w:p>
        </w:tc>
        <w:tc>
          <w:tcPr>
            <w:tcW w:w="32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13,866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12,297</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17,099</w:t>
            </w:r>
          </w:p>
        </w:tc>
        <w:tc>
          <w:tcPr>
            <w:tcW w:w="100" w:type="dxa"/>
            <w:vAlign w:val="bottom"/>
            <w:tcBorders>
              <w:bottom w:val="single" w:sz="8" w:color="CCEEFF"/>
            </w:tcBorders>
          </w:tcPr>
          <w:p>
            <w:pPr>
              <w:spacing w:after="0"/>
              <w:rPr>
                <w:sz w:val="17"/>
                <w:szCs w:val="17"/>
                <w:color w:val="auto"/>
              </w:rPr>
            </w:pPr>
          </w:p>
        </w:tc>
      </w:tr>
      <w:tr>
        <w:trPr>
          <w:trHeight w:val="205"/>
        </w:trPr>
        <w:tc>
          <w:tcPr>
            <w:tcW w:w="382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420"/>
          </w:cols>
          <w:pgMar w:left="240" w:top="890" w:right="239" w:bottom="1440" w:gutter="0" w:footer="0" w:header="0"/>
        </w:sectPr>
      </w:pPr>
    </w:p>
    <w:p>
      <w:pPr>
        <w:ind w:right="2700"/>
        <w:spacing w:after="0" w:line="294" w:lineRule="auto"/>
        <w:rPr>
          <w:sz w:val="20"/>
          <w:szCs w:val="20"/>
          <w:color w:val="auto"/>
        </w:rPr>
      </w:pPr>
      <w:r>
        <w:rPr>
          <w:rFonts w:ascii="Arial" w:cs="Arial" w:eastAsia="Arial" w:hAnsi="Arial"/>
          <w:sz w:val="15"/>
          <w:szCs w:val="15"/>
          <w:b w:val="1"/>
          <w:bCs w:val="1"/>
          <w:color w:val="auto"/>
        </w:rPr>
        <w:t xml:space="preserve">Net realized and unrealized loss on investments </w:t>
      </w:r>
      <w:r>
        <w:rPr>
          <w:rFonts w:ascii="Arial" w:cs="Arial" w:eastAsia="Arial" w:hAnsi="Arial"/>
          <w:sz w:val="15"/>
          <w:szCs w:val="15"/>
          <w:color w:val="auto"/>
        </w:rPr>
        <w:t>Net realized gain (loss) on non-affiliate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49160" cy="142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9160" cy="1428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realized gain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249160" cy="142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9160" cy="142875"/>
                    </a:xfrm>
                    <a:prstGeom prst="rect">
                      <a:avLst/>
                    </a:prstGeom>
                    <a:noFill/>
                  </pic:spPr>
                </pic:pic>
              </a:graphicData>
            </a:graphic>
          </wp:anchor>
        </w:drawing>
      </w:r>
    </w:p>
    <w:p>
      <w:pPr>
        <w:spacing w:after="0" w:line="14" w:lineRule="exact"/>
        <w:rPr>
          <w:sz w:val="20"/>
          <w:szCs w:val="20"/>
          <w:color w:val="auto"/>
        </w:rPr>
      </w:pPr>
    </w:p>
    <w:p>
      <w:pPr>
        <w:ind w:right="1360"/>
        <w:spacing w:after="0" w:line="267" w:lineRule="auto"/>
        <w:rPr>
          <w:sz w:val="20"/>
          <w:szCs w:val="20"/>
          <w:color w:val="auto"/>
        </w:rPr>
      </w:pPr>
      <w:r>
        <w:rPr>
          <w:rFonts w:ascii="Arial" w:cs="Arial" w:eastAsia="Arial" w:hAnsi="Arial"/>
          <w:sz w:val="17"/>
          <w:szCs w:val="17"/>
          <w:color w:val="auto"/>
        </w:rPr>
        <w:t>Net unrealized (depreciation) appreciation on non-affiliate investments Net unrealized depreciation on affiliate investments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unrealized depreciation on controlled affiliate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49160" cy="142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9160"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645</w:t>
            </w:r>
          </w:p>
        </w:tc>
        <w:tc>
          <w:tcPr>
            <w:tcW w:w="1440" w:type="dxa"/>
            <w:vAlign w:val="bottom"/>
            <w:gridSpan w:val="2"/>
          </w:tcPr>
          <w:p>
            <w:pPr>
              <w:jc w:val="right"/>
              <w:ind w:right="63"/>
              <w:spacing w:after="0"/>
              <w:rPr>
                <w:sz w:val="20"/>
                <w:szCs w:val="20"/>
                <w:color w:val="auto"/>
              </w:rPr>
            </w:pPr>
            <w:r>
              <w:rPr>
                <w:rFonts w:ascii="Arial" w:cs="Arial" w:eastAsia="Arial" w:hAnsi="Arial"/>
                <w:sz w:val="18"/>
                <w:szCs w:val="18"/>
                <w:color w:val="auto"/>
              </w:rPr>
              <w:t>(21,191)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(7,776)</w:t>
            </w:r>
          </w:p>
        </w:tc>
      </w:tr>
      <w:tr>
        <w:trPr>
          <w:trHeight w:val="206"/>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2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(21,191</w:t>
            </w:r>
          </w:p>
        </w:tc>
        <w:tc>
          <w:tcPr>
            <w:tcW w:w="200" w:type="dxa"/>
            <w:vAlign w:val="bottom"/>
          </w:tcPr>
          <w:p>
            <w:pPr>
              <w:jc w:val="right"/>
              <w:ind w:right="63"/>
              <w:spacing w:after="0"/>
              <w:rPr>
                <w:sz w:val="20"/>
                <w:szCs w:val="20"/>
                <w:color w:val="auto"/>
              </w:rPr>
            </w:pPr>
            <w:r>
              <w:rPr>
                <w:rFonts w:ascii="Arial" w:cs="Arial" w:eastAsia="Arial" w:hAnsi="Arial"/>
                <w:sz w:val="15"/>
                <w:szCs w:val="15"/>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60" w:type="dxa"/>
            <w:vAlign w:val="bottom"/>
          </w:tcPr>
          <w:p>
            <w:pPr>
              <w:jc w:val="right"/>
              <w:spacing w:after="0"/>
              <w:rPr>
                <w:sz w:val="20"/>
                <w:szCs w:val="20"/>
                <w:color w:val="auto"/>
              </w:rPr>
            </w:pPr>
            <w:r>
              <w:rPr>
                <w:rFonts w:ascii="Arial" w:cs="Arial" w:eastAsia="Arial" w:hAnsi="Arial"/>
                <w:sz w:val="15"/>
                <w:szCs w:val="15"/>
                <w:color w:val="auto"/>
                <w:w w:val="79"/>
              </w:rPr>
              <w:t>)</w:t>
            </w:r>
          </w:p>
        </w:tc>
      </w:tr>
      <w:tr>
        <w:trPr>
          <w:trHeight w:val="193"/>
        </w:trPr>
        <w:tc>
          <w:tcPr>
            <w:tcW w:w="1280" w:type="dxa"/>
            <w:vAlign w:val="bottom"/>
          </w:tcPr>
          <w:p>
            <w:pPr>
              <w:jc w:val="right"/>
              <w:spacing w:after="0" w:line="193" w:lineRule="exact"/>
              <w:rPr>
                <w:sz w:val="20"/>
                <w:szCs w:val="20"/>
                <w:color w:val="auto"/>
              </w:rPr>
            </w:pPr>
            <w:r>
              <w:rPr>
                <w:rFonts w:ascii="Arial" w:cs="Arial" w:eastAsia="Arial" w:hAnsi="Arial"/>
                <w:sz w:val="18"/>
                <w:szCs w:val="18"/>
                <w:color w:val="auto"/>
              </w:rPr>
              <w:t>(1,445)</w:t>
            </w:r>
          </w:p>
        </w:tc>
        <w:tc>
          <w:tcPr>
            <w:tcW w:w="24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Arial" w:cs="Arial" w:eastAsia="Arial" w:hAnsi="Arial"/>
                <w:sz w:val="18"/>
                <w:szCs w:val="18"/>
                <w:color w:val="auto"/>
              </w:rPr>
              <w:t>18,506</w:t>
            </w:r>
          </w:p>
        </w:tc>
        <w:tc>
          <w:tcPr>
            <w:tcW w:w="20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Arial" w:cs="Arial" w:eastAsia="Arial" w:hAnsi="Arial"/>
                <w:sz w:val="18"/>
                <w:szCs w:val="18"/>
                <w:color w:val="auto"/>
              </w:rPr>
              <w:t>(14,236)</w:t>
            </w:r>
          </w:p>
        </w:tc>
        <w:tc>
          <w:tcPr>
            <w:tcW w:w="60" w:type="dxa"/>
            <w:vAlign w:val="bottom"/>
          </w:tcPr>
          <w:p>
            <w:pPr>
              <w:spacing w:after="0"/>
              <w:rPr>
                <w:sz w:val="16"/>
                <w:szCs w:val="16"/>
                <w:color w:val="auto"/>
              </w:rPr>
            </w:pPr>
          </w:p>
        </w:tc>
      </w:tr>
      <w:tr>
        <w:trPr>
          <w:trHeight w:val="212"/>
        </w:trPr>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1440" w:type="dxa"/>
            <w:vAlign w:val="bottom"/>
            <w:gridSpan w:val="2"/>
          </w:tcPr>
          <w:p>
            <w:pPr>
              <w:jc w:val="right"/>
              <w:ind w:right="63"/>
              <w:spacing w:after="0"/>
              <w:rPr>
                <w:sz w:val="20"/>
                <w:szCs w:val="20"/>
                <w:color w:val="auto"/>
              </w:rPr>
            </w:pPr>
            <w:r>
              <w:rPr>
                <w:rFonts w:ascii="Arial" w:cs="Arial" w:eastAsia="Arial" w:hAnsi="Arial"/>
                <w:sz w:val="18"/>
                <w:szCs w:val="18"/>
                <w:color w:val="auto"/>
              </w:rPr>
              <w:t>(21)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44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p>
      <w:pPr>
        <w:sectPr>
          <w:pgSz w:w="11900" w:h="16838" w:orient="portrait"/>
          <w:cols w:equalWidth="0" w:num="2">
            <w:col w:w="6380" w:space="720"/>
            <w:col w:w="4320"/>
          </w:cols>
          <w:pgMar w:left="240" w:top="890" w:right="2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Net unrealized (depreciation) appreciation on investments</w:t>
            </w:r>
          </w:p>
        </w:tc>
        <w:tc>
          <w:tcPr>
            <w:tcW w:w="19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140" w:type="dxa"/>
            <w:vAlign w:val="bottom"/>
          </w:tcPr>
          <w:p>
            <w:pPr>
              <w:jc w:val="right"/>
              <w:ind w:right="3"/>
              <w:spacing w:after="0"/>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18,485</w:t>
            </w: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(14,236</w:t>
            </w:r>
          </w:p>
        </w:tc>
        <w:tc>
          <w:tcPr>
            <w:tcW w:w="10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12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Net realized and unrealized loss on investments</w:t>
            </w:r>
          </w:p>
        </w:tc>
        <w:tc>
          <w:tcPr>
            <w:tcW w:w="1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3"/>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(2,706)</w:t>
            </w:r>
          </w:p>
        </w:tc>
        <w:tc>
          <w:tcPr>
            <w:tcW w:w="4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(22,012)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12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w w:val="94"/>
              </w:rPr>
              <w:t>Net increase (decrease) in net assets resulting from operations</w:t>
            </w:r>
          </w:p>
        </w:tc>
        <w:tc>
          <w:tcPr>
            <w:tcW w:w="25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3"/>
              <w:spacing w:after="0"/>
              <w:rPr>
                <w:sz w:val="20"/>
                <w:szCs w:val="20"/>
                <w:color w:val="auto"/>
              </w:rPr>
            </w:pPr>
            <w:r>
              <w:rPr>
                <w:rFonts w:ascii="Arial" w:cs="Arial" w:eastAsia="Arial" w:hAnsi="Arial"/>
                <w:sz w:val="18"/>
                <w:szCs w:val="18"/>
                <w:color w:val="auto"/>
              </w:rPr>
              <w:t>13,010</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9,591</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0" w:type="dxa"/>
            <w:vAlign w:val="bottom"/>
          </w:tcPr>
          <w:p>
            <w:pPr>
              <w:spacing w:after="0"/>
              <w:rPr>
                <w:sz w:val="24"/>
                <w:szCs w:val="24"/>
                <w:color w:val="auto"/>
              </w:rPr>
            </w:pPr>
          </w:p>
        </w:tc>
        <w:tc>
          <w:tcPr>
            <w:tcW w:w="7620" w:type="dxa"/>
            <w:vAlign w:val="bottom"/>
            <w:gridSpan w:val="3"/>
          </w:tcPr>
          <w:p>
            <w:pPr>
              <w:jc w:val="center"/>
              <w:ind w:left="3672"/>
              <w:spacing w:after="0"/>
              <w:rPr>
                <w:sz w:val="20"/>
                <w:szCs w:val="20"/>
                <w:color w:val="auto"/>
              </w:rPr>
            </w:pPr>
            <w:r>
              <w:rPr>
                <w:rFonts w:ascii="Arial" w:cs="Arial" w:eastAsia="Arial" w:hAnsi="Arial"/>
                <w:sz w:val="18"/>
                <w:szCs w:val="18"/>
                <w:color w:val="auto"/>
                <w:w w:val="87"/>
              </w:rPr>
              <w:t>See Notes to Consolidated Financial Statements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7"/>
        </w:trPr>
        <w:tc>
          <w:tcPr>
            <w:tcW w:w="20" w:type="dxa"/>
            <w:vAlign w:val="bottom"/>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212"/>
              <w:spacing w:after="0"/>
              <w:rPr>
                <w:sz w:val="20"/>
                <w:szCs w:val="20"/>
                <w:color w:val="auto"/>
              </w:rPr>
            </w:pPr>
            <w:r>
              <w:rPr>
                <w:rFonts w:ascii="Arial" w:cs="Arial" w:eastAsia="Arial" w:hAnsi="Arial"/>
                <w:sz w:val="18"/>
                <w:szCs w:val="18"/>
                <w:color w:val="auto"/>
              </w:rPr>
              <w:t>82</w:t>
            </w:r>
          </w:p>
        </w:tc>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0" w:right="239" w:bottom="1440" w:gutter="0" w:footer="0" w:header="0"/>
          <w:type w:val="continuous"/>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00" w:type="dxa"/>
            <w:vAlign w:val="bottom"/>
            <w:gridSpan w:val="5"/>
          </w:tcPr>
          <w:p>
            <w:pPr>
              <w:ind w:left="3500"/>
              <w:spacing w:after="0"/>
              <w:rPr>
                <w:sz w:val="20"/>
                <w:szCs w:val="20"/>
                <w:color w:val="auto"/>
              </w:rPr>
            </w:pPr>
            <w:r>
              <w:rPr>
                <w:rFonts w:ascii="Arial" w:cs="Arial" w:eastAsia="Arial" w:hAnsi="Arial"/>
                <w:sz w:val="18"/>
                <w:szCs w:val="18"/>
                <w:b w:val="1"/>
                <w:bCs w:val="1"/>
                <w:color w:val="auto"/>
                <w:w w:val="98"/>
              </w:rPr>
              <w:t>Horizon Technology Finance Corporation and Subsidiaries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3920" w:type="dxa"/>
            <w:vAlign w:val="bottom"/>
          </w:tcPr>
          <w:p>
            <w:pPr>
              <w:spacing w:after="0"/>
              <w:rPr>
                <w:sz w:val="24"/>
                <w:szCs w:val="24"/>
                <w:color w:val="auto"/>
              </w:rPr>
            </w:pPr>
          </w:p>
        </w:tc>
        <w:tc>
          <w:tcPr>
            <w:tcW w:w="3620" w:type="dxa"/>
            <w:vAlign w:val="bottom"/>
            <w:gridSpan w:val="2"/>
          </w:tcPr>
          <w:p>
            <w:pPr>
              <w:jc w:val="right"/>
              <w:ind w:right="283"/>
              <w:spacing w:after="0"/>
              <w:rPr>
                <w:sz w:val="20"/>
                <w:szCs w:val="20"/>
                <w:color w:val="auto"/>
              </w:rPr>
            </w:pPr>
            <w:r>
              <w:rPr>
                <w:rFonts w:ascii="Arial" w:cs="Arial" w:eastAsia="Arial" w:hAnsi="Arial"/>
                <w:sz w:val="18"/>
                <w:szCs w:val="18"/>
                <w:b w:val="1"/>
                <w:bCs w:val="1"/>
                <w:color w:val="auto"/>
                <w:w w:val="95"/>
              </w:rPr>
              <w:t>Consolidated Statements of Operations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19"/>
                <w:szCs w:val="19"/>
                <w:color w:val="auto"/>
              </w:rPr>
            </w:pPr>
          </w:p>
        </w:tc>
        <w:tc>
          <w:tcPr>
            <w:tcW w:w="3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(In thousands, except share and per share data)</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39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92"/>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920" w:type="dxa"/>
            <w:vAlign w:val="bottom"/>
            <w:tcBorders>
              <w:bottom w:val="single" w:sz="8" w:color="CCEEFF"/>
            </w:tcBorders>
          </w:tcPr>
          <w:p>
            <w:pPr>
              <w:spacing w:after="0"/>
              <w:rPr>
                <w:sz w:val="19"/>
                <w:szCs w:val="19"/>
                <w:color w:val="auto"/>
              </w:rPr>
            </w:pPr>
          </w:p>
        </w:tc>
        <w:tc>
          <w:tcPr>
            <w:tcW w:w="31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investment income per common share</w:t>
            </w:r>
          </w:p>
        </w:tc>
        <w:tc>
          <w:tcPr>
            <w:tcW w:w="362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38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86"/>
              </w:rPr>
              <w:t>Net increase (decrease) in net assets per common share</w:t>
            </w:r>
          </w:p>
        </w:tc>
        <w:tc>
          <w:tcPr>
            <w:tcW w:w="3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line="20" w:lineRule="exact"/>
              <w:rPr>
                <w:sz w:val="1"/>
                <w:szCs w:val="1"/>
                <w:color w:val="auto"/>
              </w:rPr>
            </w:pPr>
          </w:p>
        </w:tc>
      </w:tr>
      <w:tr>
        <w:trPr>
          <w:trHeight w:val="232"/>
        </w:trPr>
        <w:tc>
          <w:tcPr>
            <w:tcW w:w="3920" w:type="dxa"/>
            <w:vAlign w:val="bottom"/>
            <w:tcBorders>
              <w:bottom w:val="single" w:sz="8" w:color="CCEEFF"/>
            </w:tcBorders>
            <w:vMerge w:val="continue"/>
          </w:tcPr>
          <w:p>
            <w:pPr>
              <w:spacing w:after="0"/>
              <w:rPr>
                <w:sz w:val="20"/>
                <w:szCs w:val="20"/>
                <w:color w:val="auto"/>
              </w:rPr>
            </w:pPr>
          </w:p>
        </w:tc>
        <w:tc>
          <w:tcPr>
            <w:tcW w:w="31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0.83</w:t>
            </w: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12"/>
              <w:spacing w:after="0" w:line="19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Distributions declared per share</w:t>
            </w:r>
          </w:p>
        </w:tc>
        <w:tc>
          <w:tcPr>
            <w:tcW w:w="3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12"/>
              <w:spacing w:after="0" w:line="19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1.335</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3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20" w:type="dxa"/>
            <w:vAlign w:val="bottom"/>
            <w:vMerge w:val="continue"/>
          </w:tcPr>
          <w:p>
            <w:pPr>
              <w:spacing w:after="0"/>
              <w:rPr>
                <w:sz w:val="16"/>
                <w:szCs w:val="16"/>
                <w:color w:val="auto"/>
              </w:rPr>
            </w:pPr>
          </w:p>
        </w:tc>
        <w:tc>
          <w:tcPr>
            <w:tcW w:w="3180" w:type="dxa"/>
            <w:vAlign w:val="bottom"/>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8"/>
                <w:szCs w:val="18"/>
                <w:color w:val="auto"/>
                <w:w w:val="90"/>
              </w:rPr>
              <w:t>11,527,777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11,516,846</w:t>
            </w:r>
          </w:p>
        </w:tc>
        <w:tc>
          <w:tcPr>
            <w:tcW w:w="2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11,543,708</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9"/>
        </w:trPr>
        <w:tc>
          <w:tcPr>
            <w:tcW w:w="8540" w:type="dxa"/>
            <w:vAlign w:val="bottom"/>
            <w:gridSpan w:val="10"/>
          </w:tcPr>
          <w:p>
            <w:pPr>
              <w:jc w:val="center"/>
              <w:ind w:left="2812"/>
              <w:spacing w:after="0"/>
              <w:rPr>
                <w:sz w:val="20"/>
                <w:szCs w:val="20"/>
                <w:color w:val="auto"/>
              </w:rPr>
            </w:pPr>
            <w:r>
              <w:rPr>
                <w:rFonts w:ascii="Arial" w:cs="Arial" w:eastAsia="Arial" w:hAnsi="Arial"/>
                <w:sz w:val="18"/>
                <w:szCs w:val="18"/>
                <w:b w:val="1"/>
                <w:bCs w:val="1"/>
                <w:color w:val="auto"/>
                <w:w w:val="88"/>
              </w:rPr>
              <w:t>Horizon Technology Finance Corporation and Subsidiaries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7"/>
        </w:trPr>
        <w:tc>
          <w:tcPr>
            <w:tcW w:w="8540" w:type="dxa"/>
            <w:vAlign w:val="bottom"/>
            <w:gridSpan w:val="10"/>
          </w:tcPr>
          <w:p>
            <w:pPr>
              <w:jc w:val="center"/>
              <w:ind w:left="2792"/>
              <w:spacing w:after="0"/>
              <w:rPr>
                <w:sz w:val="20"/>
                <w:szCs w:val="20"/>
                <w:color w:val="auto"/>
              </w:rPr>
            </w:pPr>
            <w:r>
              <w:rPr>
                <w:rFonts w:ascii="Arial" w:cs="Arial" w:eastAsia="Arial" w:hAnsi="Arial"/>
                <w:sz w:val="18"/>
                <w:szCs w:val="18"/>
                <w:b w:val="1"/>
                <w:bCs w:val="1"/>
                <w:color w:val="auto"/>
                <w:w w:val="86"/>
              </w:rPr>
              <w:t>Consolidated Statements of Changes in Net Assets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4120" w:type="dxa"/>
            <w:vAlign w:val="bottom"/>
          </w:tcPr>
          <w:p>
            <w:pPr>
              <w:spacing w:after="0"/>
              <w:rPr>
                <w:sz w:val="19"/>
                <w:szCs w:val="19"/>
                <w:color w:val="auto"/>
              </w:rPr>
            </w:pPr>
          </w:p>
        </w:tc>
        <w:tc>
          <w:tcPr>
            <w:tcW w:w="3040" w:type="dxa"/>
            <w:vAlign w:val="bottom"/>
            <w:gridSpan w:val="6"/>
          </w:tcPr>
          <w:p>
            <w:pPr>
              <w:jc w:val="center"/>
              <w:ind w:left="52"/>
              <w:spacing w:after="0"/>
              <w:rPr>
                <w:sz w:val="20"/>
                <w:szCs w:val="20"/>
                <w:color w:val="auto"/>
              </w:rPr>
            </w:pPr>
            <w:r>
              <w:rPr>
                <w:rFonts w:ascii="Arial" w:cs="Arial" w:eastAsia="Arial" w:hAnsi="Arial"/>
                <w:sz w:val="18"/>
                <w:szCs w:val="18"/>
                <w:b w:val="1"/>
                <w:bCs w:val="1"/>
                <w:color w:val="auto"/>
                <w:w w:val="87"/>
              </w:rPr>
              <w:t>(In thousands, except share data)</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7"/>
        </w:trPr>
        <w:tc>
          <w:tcPr>
            <w:tcW w:w="4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Paid-In Capital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4120" w:type="dxa"/>
            <w:vAlign w:val="bottom"/>
          </w:tcPr>
          <w:p>
            <w:pPr>
              <w:spacing w:after="0"/>
              <w:rPr>
                <w:sz w:val="19"/>
                <w:szCs w:val="19"/>
                <w:color w:val="auto"/>
              </w:rPr>
            </w:pPr>
          </w:p>
        </w:tc>
        <w:tc>
          <w:tcPr>
            <w:tcW w:w="2800" w:type="dxa"/>
            <w:vAlign w:val="bottom"/>
            <w:tcBorders>
              <w:bottom w:val="single" w:sz="8" w:color="auto"/>
            </w:tcBorders>
            <w:gridSpan w:val="5"/>
          </w:tcPr>
          <w:p>
            <w:pPr>
              <w:jc w:val="right"/>
              <w:ind w:right="732"/>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in Excess of</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43"/>
              <w:spacing w:after="0"/>
              <w:rPr>
                <w:sz w:val="20"/>
                <w:szCs w:val="20"/>
                <w:color w:val="auto"/>
              </w:rPr>
            </w:pPr>
            <w:r>
              <w:rPr>
                <w:rFonts w:ascii="Arial" w:cs="Arial" w:eastAsia="Arial" w:hAnsi="Arial"/>
                <w:sz w:val="18"/>
                <w:szCs w:val="18"/>
                <w:b w:val="1"/>
                <w:bCs w:val="1"/>
                <w:color w:val="auto"/>
                <w:w w:val="90"/>
              </w:rPr>
              <w:t>Distributable</w:t>
            </w:r>
          </w:p>
        </w:tc>
        <w:tc>
          <w:tcPr>
            <w:tcW w:w="200" w:type="dxa"/>
            <w:vAlign w:val="bottom"/>
          </w:tcPr>
          <w:p>
            <w:pPr>
              <w:spacing w:after="0"/>
              <w:rPr>
                <w:sz w:val="19"/>
                <w:szCs w:val="19"/>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8"/>
              </w:rPr>
              <w:t>Total Net</w:t>
            </w:r>
          </w:p>
        </w:tc>
      </w:tr>
      <w:tr>
        <w:trPr>
          <w:trHeight w:val="233"/>
        </w:trPr>
        <w:tc>
          <w:tcPr>
            <w:tcW w:w="412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Par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23"/>
              <w:spacing w:after="0" w:line="233" w:lineRule="exact"/>
              <w:rPr>
                <w:sz w:val="20"/>
                <w:szCs w:val="20"/>
                <w:color w:val="auto"/>
              </w:rPr>
            </w:pPr>
            <w:r>
              <w:rPr>
                <w:rFonts w:ascii="Arial" w:cs="Arial" w:eastAsia="Arial" w:hAnsi="Arial"/>
                <w:sz w:val="17"/>
                <w:szCs w:val="17"/>
                <w:b w:val="1"/>
                <w:bCs w:val="1"/>
                <w:color w:val="auto"/>
                <w:w w:val="97"/>
              </w:rPr>
              <w:t>Earnings</w:t>
            </w:r>
            <w:r>
              <w:rPr>
                <w:rFonts w:ascii="Arial" w:cs="Arial" w:eastAsia="Arial" w:hAnsi="Arial"/>
                <w:sz w:val="27"/>
                <w:szCs w:val="27"/>
                <w:b w:val="1"/>
                <w:bCs w:val="1"/>
                <w:color w:val="auto"/>
                <w:w w:val="97"/>
                <w:vertAlign w:val="superscript"/>
              </w:rPr>
              <w:t>(1)</w:t>
            </w:r>
          </w:p>
        </w:tc>
        <w:tc>
          <w:tcPr>
            <w:tcW w:w="200" w:type="dxa"/>
            <w:vAlign w:val="bottom"/>
          </w:tcPr>
          <w:p>
            <w:pPr>
              <w:spacing w:after="0"/>
              <w:rPr>
                <w:sz w:val="20"/>
                <w:szCs w:val="20"/>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Assets</w:t>
            </w:r>
          </w:p>
        </w:tc>
      </w:tr>
      <w:tr>
        <w:trPr>
          <w:trHeight w:val="205"/>
        </w:trPr>
        <w:tc>
          <w:tcPr>
            <w:tcW w:w="4120" w:type="dxa"/>
            <w:vAlign w:val="bottom"/>
            <w:tcBorders>
              <w:top w:val="single" w:sz="8" w:color="CCEEFF"/>
            </w:tcBorders>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Balance at December 31, 2015</w:t>
            </w:r>
          </w:p>
        </w:tc>
        <w:tc>
          <w:tcPr>
            <w:tcW w:w="12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11,535,212</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12</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179,707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(19,968)</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159,751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0"/>
        </w:trPr>
        <w:tc>
          <w:tcPr>
            <w:tcW w:w="4120" w:type="dxa"/>
            <w:vAlign w:val="bottom"/>
          </w:tcPr>
          <w:p>
            <w:pPr>
              <w:spacing w:after="0" w:line="200" w:lineRule="exact"/>
              <w:rPr>
                <w:sz w:val="20"/>
                <w:szCs w:val="20"/>
                <w:color w:val="auto"/>
              </w:rPr>
            </w:pPr>
            <w:r>
              <w:rPr>
                <w:rFonts w:ascii="Arial" w:cs="Arial" w:eastAsia="Arial" w:hAnsi="Arial"/>
                <w:sz w:val="18"/>
                <w:szCs w:val="18"/>
                <w:color w:val="auto"/>
                <w:w w:val="90"/>
              </w:rPr>
              <w:t>Net decrease in net assets resulting from operations, net</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4120" w:type="dxa"/>
            <w:vAlign w:val="bottom"/>
          </w:tcPr>
          <w:p>
            <w:pPr>
              <w:ind w:left="180"/>
              <w:spacing w:after="0"/>
              <w:rPr>
                <w:sz w:val="20"/>
                <w:szCs w:val="20"/>
                <w:color w:val="auto"/>
              </w:rPr>
            </w:pPr>
            <w:r>
              <w:rPr>
                <w:rFonts w:ascii="Arial" w:cs="Arial" w:eastAsia="Arial" w:hAnsi="Arial"/>
                <w:sz w:val="18"/>
                <w:szCs w:val="18"/>
                <w:color w:val="auto"/>
              </w:rPr>
              <w:t>of excise tax:</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net of excise tax</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17,099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17,099</w:t>
            </w:r>
          </w:p>
        </w:tc>
        <w:tc>
          <w:tcPr>
            <w:tcW w:w="80" w:type="dxa"/>
            <w:vAlign w:val="bottom"/>
            <w:shd w:val="clear" w:color="auto" w:fill="CCEEFF"/>
          </w:tcPr>
          <w:p>
            <w:pPr>
              <w:spacing w:after="0"/>
              <w:rPr>
                <w:sz w:val="18"/>
                <w:szCs w:val="18"/>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3"/>
              <w:spacing w:after="0"/>
              <w:rPr>
                <w:sz w:val="20"/>
                <w:szCs w:val="20"/>
                <w:color w:val="auto"/>
              </w:rPr>
            </w:pPr>
            <w:r>
              <w:rPr>
                <w:rFonts w:ascii="Arial" w:cs="Arial" w:eastAsia="Arial" w:hAnsi="Arial"/>
                <w:sz w:val="18"/>
                <w:szCs w:val="18"/>
                <w:color w:val="auto"/>
              </w:rPr>
              <w:t>(14,236)</w:t>
            </w:r>
          </w:p>
        </w:tc>
        <w:tc>
          <w:tcPr>
            <w:tcW w:w="2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(14,236)</w:t>
            </w:r>
          </w:p>
        </w:tc>
      </w:tr>
      <w:tr>
        <w:trPr>
          <w:trHeight w:val="212"/>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(7,776)</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(7,776)</w:t>
            </w:r>
          </w:p>
        </w:tc>
      </w:tr>
      <w:tr>
        <w:trPr>
          <w:trHeight w:val="200"/>
        </w:trPr>
        <w:tc>
          <w:tcPr>
            <w:tcW w:w="4120" w:type="dxa"/>
            <w:vAlign w:val="bottom"/>
          </w:tcPr>
          <w:p>
            <w:pPr>
              <w:spacing w:after="0" w:line="200" w:lineRule="exact"/>
              <w:rPr>
                <w:sz w:val="20"/>
                <w:szCs w:val="20"/>
                <w:color w:val="auto"/>
              </w:rPr>
            </w:pPr>
            <w:r>
              <w:rPr>
                <w:rFonts w:ascii="Arial" w:cs="Arial" w:eastAsia="Arial" w:hAnsi="Arial"/>
                <w:sz w:val="18"/>
                <w:szCs w:val="18"/>
                <w:color w:val="auto"/>
                <w:w w:val="92"/>
              </w:rPr>
              <w:t>Issuance of common stock under dividend reinvestment</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4120" w:type="dxa"/>
            <w:vAlign w:val="bottom"/>
          </w:tcPr>
          <w:p>
            <w:pPr>
              <w:ind w:left="180"/>
              <w:spacing w:after="0"/>
              <w:rPr>
                <w:sz w:val="20"/>
                <w:szCs w:val="20"/>
                <w:color w:val="auto"/>
              </w:rPr>
            </w:pPr>
            <w:r>
              <w:rPr>
                <w:rFonts w:ascii="Arial" w:cs="Arial" w:eastAsia="Arial" w:hAnsi="Arial"/>
                <w:sz w:val="18"/>
                <w:szCs w:val="18"/>
                <w:color w:val="auto"/>
              </w:rPr>
              <w:t>plan</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23,372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9"/>
                <w:szCs w:val="19"/>
                <w:color w:val="auto"/>
              </w:rPr>
            </w:pPr>
          </w:p>
        </w:tc>
      </w:tr>
      <w:tr>
        <w:trPr>
          <w:trHeight w:val="21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r>
      <w:tr>
        <w:trPr>
          <w:trHeight w:val="212"/>
        </w:trPr>
        <w:tc>
          <w:tcPr>
            <w:tcW w:w="4120" w:type="dxa"/>
            <w:vAlign w:val="bottom"/>
          </w:tcPr>
          <w:p>
            <w:pPr>
              <w:spacing w:after="0"/>
              <w:rPr>
                <w:sz w:val="20"/>
                <w:szCs w:val="20"/>
                <w:color w:val="auto"/>
              </w:rPr>
            </w:pPr>
            <w:r>
              <w:rPr>
                <w:rFonts w:ascii="Arial" w:cs="Arial" w:eastAsia="Arial" w:hAnsi="Arial"/>
                <w:sz w:val="18"/>
                <w:szCs w:val="18"/>
                <w:color w:val="auto"/>
              </w:rPr>
              <w:t>Distributions declared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3"/>
              <w:spacing w:after="0"/>
              <w:rPr>
                <w:sz w:val="20"/>
                <w:szCs w:val="20"/>
                <w:color w:val="auto"/>
              </w:rPr>
            </w:pPr>
            <w:r>
              <w:rPr>
                <w:rFonts w:ascii="Arial" w:cs="Arial" w:eastAsia="Arial" w:hAnsi="Arial"/>
                <w:sz w:val="18"/>
                <w:szCs w:val="18"/>
                <w:color w:val="auto"/>
              </w:rPr>
              <w:t>(15,403)</w:t>
            </w:r>
          </w:p>
        </w:tc>
        <w:tc>
          <w:tcPr>
            <w:tcW w:w="2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(15,403)</w:t>
            </w:r>
          </w:p>
        </w:tc>
      </w:tr>
      <w:tr>
        <w:trPr>
          <w:trHeight w:val="212"/>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5"/>
              </w:rPr>
              <w:t>Reclassification of permanent tax differences (Note 2)</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5"/>
        </w:trPr>
        <w:tc>
          <w:tcPr>
            <w:tcW w:w="4120" w:type="dxa"/>
            <w:vAlign w:val="bottom"/>
            <w:tcBorders>
              <w:bottom w:val="single" w:sz="8" w:color="CCEEFF"/>
            </w:tcBorders>
          </w:tcPr>
          <w:p>
            <w:pPr>
              <w:spacing w:after="0" w:line="206" w:lineRule="exact"/>
              <w:rPr>
                <w:sz w:val="20"/>
                <w:szCs w:val="20"/>
                <w:color w:val="auto"/>
              </w:rPr>
            </w:pPr>
            <w:r>
              <w:rPr>
                <w:rFonts w:ascii="Arial" w:cs="Arial" w:eastAsia="Arial" w:hAnsi="Arial"/>
                <w:sz w:val="18"/>
                <w:szCs w:val="18"/>
                <w:b w:val="1"/>
                <w:bCs w:val="1"/>
                <w:color w:val="auto"/>
              </w:rPr>
              <w:t>Balance at December 31, 2016</w:t>
            </w:r>
          </w:p>
        </w:tc>
        <w:tc>
          <w:tcPr>
            <w:tcW w:w="12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11,510,424</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179,551</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(40,371)</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139,192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80"/>
        </w:trPr>
        <w:tc>
          <w:tcPr>
            <w:tcW w:w="412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w w:val="92"/>
              </w:rPr>
              <w:t>Net increase in net assets resulting from operations, net</w:t>
            </w: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5"/>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excise tax:</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8"/>
                <w:szCs w:val="18"/>
                <w:color w:val="auto"/>
              </w:rPr>
              <w:t>Net investment income, net of excise tax</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3"/>
              <w:spacing w:after="0"/>
              <w:rPr>
                <w:sz w:val="20"/>
                <w:szCs w:val="20"/>
                <w:color w:val="auto"/>
              </w:rPr>
            </w:pPr>
            <w:r>
              <w:rPr>
                <w:rFonts w:ascii="Arial" w:cs="Arial" w:eastAsia="Arial" w:hAnsi="Arial"/>
                <w:sz w:val="18"/>
                <w:szCs w:val="18"/>
                <w:color w:val="auto"/>
              </w:rPr>
              <w:t>12,297</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12,297</w:t>
            </w:r>
          </w:p>
        </w:tc>
        <w:tc>
          <w:tcPr>
            <w:tcW w:w="80" w:type="dxa"/>
            <w:vAlign w:val="bottom"/>
          </w:tcPr>
          <w:p>
            <w:pPr>
              <w:spacing w:after="0"/>
              <w:rPr>
                <w:sz w:val="18"/>
                <w:szCs w:val="18"/>
                <w:color w:val="auto"/>
              </w:rPr>
            </w:pPr>
          </w:p>
        </w:tc>
      </w:tr>
      <w:tr>
        <w:trPr>
          <w:trHeight w:val="212"/>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(21,191)</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(21,191)</w:t>
            </w:r>
          </w:p>
        </w:tc>
      </w:tr>
      <w:tr>
        <w:trPr>
          <w:trHeight w:val="212"/>
        </w:trPr>
        <w:tc>
          <w:tcPr>
            <w:tcW w:w="412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3"/>
              <w:spacing w:after="0"/>
              <w:rPr>
                <w:sz w:val="20"/>
                <w:szCs w:val="20"/>
                <w:color w:val="auto"/>
              </w:rPr>
            </w:pPr>
            <w:r>
              <w:rPr>
                <w:rFonts w:ascii="Arial" w:cs="Arial" w:eastAsia="Arial" w:hAnsi="Arial"/>
                <w:sz w:val="18"/>
                <w:szCs w:val="18"/>
                <w:color w:val="auto"/>
              </w:rPr>
              <w:t>18,485</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18,485</w:t>
            </w:r>
          </w:p>
        </w:tc>
        <w:tc>
          <w:tcPr>
            <w:tcW w:w="80" w:type="dxa"/>
            <w:vAlign w:val="bottom"/>
          </w:tcPr>
          <w:p>
            <w:pPr>
              <w:spacing w:after="0"/>
              <w:rPr>
                <w:sz w:val="18"/>
                <w:szCs w:val="18"/>
                <w:color w:val="auto"/>
              </w:rPr>
            </w:pPr>
          </w:p>
        </w:tc>
      </w:tr>
      <w:tr>
        <w:trPr>
          <w:trHeight w:val="200"/>
        </w:trPr>
        <w:tc>
          <w:tcPr>
            <w:tcW w:w="4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2"/>
              </w:rPr>
              <w:t>Issuance of common stock under dividend reinvestment</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5"/>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9"/>
                <w:szCs w:val="19"/>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(5,923)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r>
      <w:tr>
        <w:trPr>
          <w:trHeight w:val="212"/>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(13,823)</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(13,823)</w:t>
            </w:r>
          </w:p>
        </w:tc>
      </w:tr>
      <w:tr>
        <w:trPr>
          <w:trHeight w:val="212"/>
        </w:trPr>
        <w:tc>
          <w:tcPr>
            <w:tcW w:w="4120" w:type="dxa"/>
            <w:vAlign w:val="bottom"/>
          </w:tcPr>
          <w:p>
            <w:pPr>
              <w:spacing w:after="0"/>
              <w:rPr>
                <w:sz w:val="20"/>
                <w:szCs w:val="20"/>
                <w:color w:val="auto"/>
              </w:rPr>
            </w:pPr>
            <w:r>
              <w:rPr>
                <w:rFonts w:ascii="Arial" w:cs="Arial" w:eastAsia="Arial" w:hAnsi="Arial"/>
                <w:sz w:val="18"/>
                <w:szCs w:val="18"/>
                <w:color w:val="auto"/>
                <w:w w:val="95"/>
              </w:rPr>
              <w:t>Reclassification of permanent tax differences (Note 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3"/>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5"/>
        </w:trPr>
        <w:tc>
          <w:tcPr>
            <w:tcW w:w="4120" w:type="dxa"/>
            <w:vAlign w:val="bottom"/>
            <w:tcBorders>
              <w:top w:val="single" w:sz="8" w:color="CCEEFF"/>
            </w:tcBorders>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Balance at December 31, 2017</w:t>
            </w:r>
          </w:p>
        </w:tc>
        <w:tc>
          <w:tcPr>
            <w:tcW w:w="12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11,520,406</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12</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179,641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(44,578)</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135,075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80"/>
        </w:trPr>
        <w:tc>
          <w:tcPr>
            <w:tcW w:w="4120" w:type="dxa"/>
            <w:vAlign w:val="bottom"/>
          </w:tcPr>
          <w:p>
            <w:pPr>
              <w:spacing w:after="0" w:line="180" w:lineRule="exact"/>
              <w:rPr>
                <w:sz w:val="20"/>
                <w:szCs w:val="20"/>
                <w:color w:val="auto"/>
              </w:rPr>
            </w:pPr>
            <w:r>
              <w:rPr>
                <w:rFonts w:ascii="Arial" w:cs="Arial" w:eastAsia="Arial" w:hAnsi="Arial"/>
                <w:sz w:val="18"/>
                <w:szCs w:val="18"/>
                <w:color w:val="auto"/>
                <w:w w:val="92"/>
              </w:rPr>
              <w:t>Net increase in net assets resulting from operations, net</w:t>
            </w: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4120" w:type="dxa"/>
            <w:vAlign w:val="bottom"/>
          </w:tcPr>
          <w:p>
            <w:pPr>
              <w:ind w:left="180"/>
              <w:spacing w:after="0"/>
              <w:rPr>
                <w:sz w:val="20"/>
                <w:szCs w:val="20"/>
                <w:color w:val="auto"/>
              </w:rPr>
            </w:pPr>
            <w:r>
              <w:rPr>
                <w:rFonts w:ascii="Arial" w:cs="Arial" w:eastAsia="Arial" w:hAnsi="Arial"/>
                <w:sz w:val="18"/>
                <w:szCs w:val="18"/>
                <w:color w:val="auto"/>
              </w:rPr>
              <w:t>of excise tax:</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3"/>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net of excise tax</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13,866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13,866</w:t>
            </w:r>
          </w:p>
        </w:tc>
        <w:tc>
          <w:tcPr>
            <w:tcW w:w="80" w:type="dxa"/>
            <w:vAlign w:val="bottom"/>
            <w:shd w:val="clear" w:color="auto" w:fill="CCEEFF"/>
          </w:tcPr>
          <w:p>
            <w:pPr>
              <w:spacing w:after="0"/>
              <w:rPr>
                <w:sz w:val="18"/>
                <w:szCs w:val="18"/>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3"/>
              <w:spacing w:after="0"/>
              <w:rPr>
                <w:sz w:val="20"/>
                <w:szCs w:val="20"/>
                <w:color w:val="auto"/>
              </w:rPr>
            </w:pPr>
            <w:r>
              <w:rPr>
                <w:rFonts w:ascii="Arial" w:cs="Arial" w:eastAsia="Arial" w:hAnsi="Arial"/>
                <w:sz w:val="18"/>
                <w:szCs w:val="18"/>
                <w:color w:val="auto"/>
              </w:rPr>
              <w:t>645</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r>
      <w:tr>
        <w:trPr>
          <w:trHeight w:val="212"/>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(1,501)</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(1,501)</w:t>
            </w:r>
          </w:p>
        </w:tc>
      </w:tr>
      <w:tr>
        <w:trPr>
          <w:trHeight w:val="212"/>
        </w:trPr>
        <w:tc>
          <w:tcPr>
            <w:tcW w:w="4120" w:type="dxa"/>
            <w:vAlign w:val="bottom"/>
          </w:tcPr>
          <w:p>
            <w:pPr>
              <w:spacing w:after="0"/>
              <w:rPr>
                <w:sz w:val="20"/>
                <w:szCs w:val="20"/>
                <w:color w:val="auto"/>
              </w:rPr>
            </w:pPr>
            <w:r>
              <w:rPr>
                <w:rFonts w:ascii="Arial" w:cs="Arial" w:eastAsia="Arial" w:hAnsi="Arial"/>
                <w:sz w:val="18"/>
                <w:szCs w:val="18"/>
                <w:color w:val="auto"/>
              </w:rPr>
              <w:t>Financing costs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(155)</w:t>
            </w:r>
          </w:p>
        </w:tc>
      </w:tr>
      <w:tr>
        <w:trPr>
          <w:trHeight w:val="200"/>
        </w:trPr>
        <w:tc>
          <w:tcPr>
            <w:tcW w:w="4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2"/>
              </w:rPr>
              <w:t>Issuance of common stock under dividend reinvestment</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5"/>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r>
      <w:tr>
        <w:trPr>
          <w:trHeight w:val="212"/>
        </w:trPr>
        <w:tc>
          <w:tcPr>
            <w:tcW w:w="4120" w:type="dxa"/>
            <w:vAlign w:val="bottom"/>
          </w:tcPr>
          <w:p>
            <w:pPr>
              <w:spacing w:after="0"/>
              <w:rPr>
                <w:sz w:val="20"/>
                <w:szCs w:val="20"/>
                <w:color w:val="auto"/>
              </w:rPr>
            </w:pPr>
            <w:r>
              <w:rPr>
                <w:rFonts w:ascii="Arial" w:cs="Arial" w:eastAsia="Arial" w:hAnsi="Arial"/>
                <w:sz w:val="18"/>
                <w:szCs w:val="18"/>
                <w:color w:val="auto"/>
              </w:rPr>
              <w:t>Distributions declared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3"/>
              <w:spacing w:after="0"/>
              <w:rPr>
                <w:sz w:val="20"/>
                <w:szCs w:val="20"/>
                <w:color w:val="auto"/>
              </w:rPr>
            </w:pPr>
            <w:r>
              <w:rPr>
                <w:rFonts w:ascii="Arial" w:cs="Arial" w:eastAsia="Arial" w:hAnsi="Arial"/>
                <w:sz w:val="18"/>
                <w:szCs w:val="18"/>
                <w:color w:val="auto"/>
              </w:rPr>
              <w:t>(13,837)</w:t>
            </w:r>
          </w:p>
        </w:tc>
        <w:tc>
          <w:tcPr>
            <w:tcW w:w="2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(13,837)</w:t>
            </w:r>
          </w:p>
        </w:tc>
      </w:tr>
      <w:tr>
        <w:trPr>
          <w:trHeight w:val="212"/>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5"/>
              </w:rPr>
              <w:t>Reclassification of permanent tax differences (Note 2)</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5"/>
        </w:trPr>
        <w:tc>
          <w:tcPr>
            <w:tcW w:w="4120" w:type="dxa"/>
            <w:vAlign w:val="bottom"/>
          </w:tcPr>
          <w:p>
            <w:pPr>
              <w:spacing w:after="0" w:line="206" w:lineRule="exact"/>
              <w:rPr>
                <w:sz w:val="20"/>
                <w:szCs w:val="20"/>
                <w:color w:val="auto"/>
              </w:rPr>
            </w:pPr>
            <w:r>
              <w:rPr>
                <w:rFonts w:ascii="Arial" w:cs="Arial" w:eastAsia="Arial" w:hAnsi="Arial"/>
                <w:sz w:val="18"/>
                <w:szCs w:val="18"/>
                <w:b w:val="1"/>
                <w:bCs w:val="1"/>
                <w:color w:val="auto"/>
              </w:rPr>
              <w:t>Balance at December 31, 2018</w:t>
            </w:r>
          </w:p>
        </w:tc>
        <w:tc>
          <w:tcPr>
            <w:tcW w:w="12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11,535,129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12</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179,616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(45,371</w:t>
            </w:r>
          </w:p>
        </w:tc>
        <w:tc>
          <w:tcPr>
            <w:tcW w:w="200" w:type="dxa"/>
            <w:vAlign w:val="bottom"/>
          </w:tcPr>
          <w:p>
            <w:pPr>
              <w:jc w:val="right"/>
              <w:ind w:right="63"/>
              <w:spacing w:after="0"/>
              <w:rPr>
                <w:sz w:val="20"/>
                <w:szCs w:val="20"/>
                <w:color w:val="auto"/>
              </w:rPr>
            </w:pPr>
            <w:r>
              <w:rPr>
                <w:rFonts w:ascii="Arial" w:cs="Arial" w:eastAsia="Arial" w:hAnsi="Arial"/>
                <w:sz w:val="15"/>
                <w:szCs w:val="15"/>
                <w:color w:val="auto"/>
                <w:w w:val="79"/>
              </w:rPr>
              <w:t>)</w:t>
            </w:r>
          </w:p>
        </w:tc>
        <w:tc>
          <w:tcPr>
            <w:tcW w:w="200" w:type="dxa"/>
            <w:vAlign w:val="bottom"/>
            <w:tcBorders>
              <w:top w:val="single" w:sz="8" w:color="auto"/>
              <w:bottom w:val="single" w:sz="8" w:color="auto"/>
            </w:tcBorders>
          </w:tcPr>
          <w:p>
            <w:pPr>
              <w:jc w:val="right"/>
              <w:ind w:right="12"/>
              <w:spacing w:after="0" w:line="20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134,257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8103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(1)  See Note 2. Basis of presentation and significant accounting policies.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500" w:type="dxa"/>
            <w:vAlign w:val="bottom"/>
            <w:gridSpan w:val="4"/>
          </w:tcPr>
          <w:p>
            <w:pPr>
              <w:jc w:val="center"/>
              <w:ind w:left="2812"/>
              <w:spacing w:after="0"/>
              <w:rPr>
                <w:sz w:val="20"/>
                <w:szCs w:val="20"/>
                <w:color w:val="auto"/>
              </w:rPr>
            </w:pPr>
            <w:r>
              <w:rPr>
                <w:rFonts w:ascii="Arial" w:cs="Arial" w:eastAsia="Arial" w:hAnsi="Arial"/>
                <w:sz w:val="18"/>
                <w:szCs w:val="18"/>
                <w:b w:val="1"/>
                <w:bCs w:val="1"/>
                <w:color w:val="auto"/>
                <w:w w:val="88"/>
              </w:rPr>
              <w:t>Horizon Technology Finance Corporation and Subsidiaries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7360" w:type="dxa"/>
            <w:vAlign w:val="bottom"/>
            <w:gridSpan w:val="2"/>
          </w:tcPr>
          <w:p>
            <w:pPr>
              <w:jc w:val="center"/>
              <w:ind w:left="3932"/>
              <w:spacing w:after="0"/>
              <w:rPr>
                <w:sz w:val="20"/>
                <w:szCs w:val="20"/>
                <w:color w:val="auto"/>
              </w:rPr>
            </w:pPr>
            <w:r>
              <w:rPr>
                <w:rFonts w:ascii="Arial" w:cs="Arial" w:eastAsia="Arial" w:hAnsi="Arial"/>
                <w:sz w:val="18"/>
                <w:szCs w:val="18"/>
                <w:b w:val="1"/>
                <w:bCs w:val="1"/>
                <w:color w:val="auto"/>
                <w:w w:val="87"/>
              </w:rPr>
              <w:t>Consolidated Statements of Cash Flow</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tcPr>
          <w:p>
            <w:pPr>
              <w:jc w:val="center"/>
              <w:ind w:left="4212"/>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right"/>
              <w:ind w:right="92"/>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2"/>
              <w:spacing w:after="0" w:line="206" w:lineRule="exact"/>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2"/>
              <w:spacing w:after="0" w:line="206" w:lineRule="exact"/>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line="206" w:lineRule="exact"/>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8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13,010</w:t>
            </w:r>
          </w:p>
        </w:tc>
        <w:tc>
          <w:tcPr>
            <w:tcW w:w="3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9,591</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89"/>
              </w:rPr>
              <w:t>Adjustments to reconcile net increase (decrease) in net assets resulting from operations to net cash</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(used in) provided by operating activities: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795</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21,191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(18,485)</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14,236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(101,257)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(135,556)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84,439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103,790</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95,710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controlled affiliate investments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Proceeds from sale of investments</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1,840</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 from controlled affiliate investments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Distributions from controlled affiliate investments</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Equity received in settlement of fee income</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Warrants received in settlement of fee income</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8"/>
                <w:szCs w:val="18"/>
                <w:color w:val="auto"/>
              </w:rPr>
              <w:t>Net decrease in investments in money market funds</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decrease in restricted investments in money market funds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8"/>
                <w:szCs w:val="18"/>
                <w:color w:val="auto"/>
              </w:rPr>
              <w:t>Decrease (increase) in interest receivable</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 end-of-term payments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8"/>
                <w:szCs w:val="18"/>
                <w:color w:val="auto"/>
              </w:rPr>
              <w:t>Decrease in unearned income</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 other assets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8"/>
                <w:szCs w:val="18"/>
                <w:color w:val="auto"/>
              </w:rPr>
              <w:t>Increase (decrease) in other accrued expenses</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 base management fee payable</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8"/>
                <w:szCs w:val="18"/>
                <w:color w:val="auto"/>
              </w:rPr>
              <w:t>Increase (decrease) in incentive fee payable</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541</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ind w:left="140"/>
              <w:spacing w:after="0" w:line="204" w:lineRule="exact"/>
              <w:rPr>
                <w:sz w:val="20"/>
                <w:szCs w:val="20"/>
                <w:color w:val="auto"/>
              </w:rPr>
            </w:pPr>
            <w:r>
              <w:rPr>
                <w:rFonts w:ascii="Arial" w:cs="Arial" w:eastAsia="Arial" w:hAnsi="Arial"/>
                <w:sz w:val="18"/>
                <w:szCs w:val="18"/>
                <w:color w:val="auto"/>
              </w:rPr>
              <w:t>Net cash (used in) provided by operating activities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(12,058)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(14,841)</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52,310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Proceeds from issuance of 2022 Notes</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37,375</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Repayment of 2019 Notes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Repayment of Asset-Backed Notes</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(14,546)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Advances on credit facility</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Repayment of credit facility</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(97,000)</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(13,646)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Financing costs</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18,055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(15,700)</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(35,940)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80" w:type="dxa"/>
            <w:vAlign w:val="bottom"/>
          </w:tcPr>
          <w:p>
            <w:pPr>
              <w:ind w:left="140"/>
              <w:spacing w:after="0" w:line="204" w:lineRule="exact"/>
              <w:rPr>
                <w:sz w:val="20"/>
                <w:szCs w:val="20"/>
                <w:color w:val="auto"/>
              </w:rPr>
            </w:pPr>
            <w:r>
              <w:rPr>
                <w:rFonts w:ascii="Arial" w:cs="Arial" w:eastAsia="Arial" w:hAnsi="Arial"/>
                <w:sz w:val="18"/>
                <w:szCs w:val="18"/>
                <w:color w:val="auto"/>
              </w:rPr>
              <w:t>Net increase (decrease) in cash</w:t>
            </w:r>
          </w:p>
        </w:tc>
        <w:tc>
          <w:tcPr>
            <w:tcW w:w="280" w:type="dxa"/>
            <w:vAlign w:val="bottom"/>
          </w:tcPr>
          <w:p>
            <w:pPr>
              <w:spacing w:after="0"/>
              <w:rPr>
                <w:sz w:val="17"/>
                <w:szCs w:val="17"/>
                <w:color w:val="auto"/>
              </w:rPr>
            </w:pPr>
          </w:p>
        </w:tc>
        <w:tc>
          <w:tcPr>
            <w:tcW w:w="1000" w:type="dxa"/>
            <w:vAlign w:val="bottom"/>
          </w:tcPr>
          <w:p>
            <w:pPr>
              <w:jc w:val="right"/>
              <w:spacing w:after="0" w:line="206" w:lineRule="exact"/>
              <w:rPr>
                <w:sz w:val="20"/>
                <w:szCs w:val="20"/>
                <w:color w:val="auto"/>
              </w:rPr>
            </w:pPr>
            <w:r>
              <w:rPr>
                <w:rFonts w:ascii="Arial" w:cs="Arial" w:eastAsia="Arial" w:hAnsi="Arial"/>
                <w:sz w:val="18"/>
                <w:szCs w:val="18"/>
                <w:color w:val="auto"/>
              </w:rPr>
              <w:t>5,997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Arial" w:cs="Arial" w:eastAsia="Arial" w:hAnsi="Arial"/>
                <w:sz w:val="18"/>
                <w:szCs w:val="18"/>
                <w:color w:val="auto"/>
              </w:rPr>
              <w:t>(30,541)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16,370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Cash:</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37,135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20,765</w:t>
            </w:r>
          </w:p>
        </w:tc>
        <w:tc>
          <w:tcPr>
            <w:tcW w:w="0" w:type="dxa"/>
            <w:vAlign w:val="bottom"/>
          </w:tcPr>
          <w:p>
            <w:pPr>
              <w:spacing w:after="0"/>
              <w:rPr>
                <w:sz w:val="1"/>
                <w:szCs w:val="1"/>
                <w:color w:val="auto"/>
              </w:rPr>
            </w:pPr>
          </w:p>
        </w:tc>
      </w:tr>
      <w:tr>
        <w:trPr>
          <w:trHeight w:val="245"/>
        </w:trPr>
        <w:tc>
          <w:tcPr>
            <w:tcW w:w="7100" w:type="dxa"/>
            <w:vAlign w:val="bottom"/>
            <w:gridSpan w:val="2"/>
          </w:tcPr>
          <w:p>
            <w:pPr>
              <w:spacing w:after="0" w:line="206" w:lineRule="exact"/>
              <w:rPr>
                <w:sz w:val="20"/>
                <w:szCs w:val="20"/>
                <w:color w:val="auto"/>
              </w:rPr>
            </w:pPr>
            <w:r>
              <w:rPr>
                <w:rFonts w:ascii="Arial" w:cs="Arial" w:eastAsia="Arial" w:hAnsi="Arial"/>
                <w:sz w:val="18"/>
                <w:szCs w:val="18"/>
                <w:color w:val="auto"/>
              </w:rPr>
              <w:t>End of period</w:t>
            </w: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12,591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6,594</w:t>
            </w:r>
          </w:p>
        </w:tc>
        <w:tc>
          <w:tcPr>
            <w:tcW w:w="2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2"/>
              <w:spacing w:after="0" w:line="20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37,135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0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interest</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4,397</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Supplemental non-cash investing and financing activities: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 investments received and recorded as unearned income</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2,463</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Distributions payable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708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3,461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3,456</w:t>
            </w: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12"/>
              <w:spacing w:after="0" w:line="19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80" w:type="dxa"/>
            <w:vAlign w:val="bottom"/>
            <w:tcBorders>
              <w:bottom w:val="single" w:sz="8" w:color="CCEEFF"/>
            </w:tcBorders>
            <w:shd w:val="clear" w:color="auto" w:fill="CCEEFF"/>
          </w:tcPr>
          <w:p>
            <w:pPr>
              <w:ind w:left="140"/>
              <w:spacing w:after="0" w:line="192" w:lineRule="exact"/>
              <w:rPr>
                <w:sz w:val="20"/>
                <w:szCs w:val="20"/>
                <w:color w:val="auto"/>
              </w:rPr>
            </w:pPr>
            <w:r>
              <w:rPr>
                <w:rFonts w:ascii="Arial" w:cs="Arial" w:eastAsia="Arial" w:hAnsi="Arial"/>
                <w:sz w:val="18"/>
                <w:szCs w:val="18"/>
                <w:color w:val="auto"/>
              </w:rPr>
              <w:t>End of term payments receivable</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3,015</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2,936</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12"/>
              <w:spacing w:after="0" w:line="19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5,074</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70" w:type="dxa"/>
            <w:vAlign w:val="bottom"/>
          </w:tcPr>
          <w:p>
            <w:pPr>
              <w:spacing w:after="0"/>
              <w:rPr>
                <w:sz w:val="14"/>
                <w:szCs w:val="14"/>
                <w:color w:val="auto"/>
              </w:rPr>
            </w:pPr>
          </w:p>
        </w:tc>
        <w:tc>
          <w:tcPr>
            <w:tcW w:w="233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 of</w:t>
            </w:r>
          </w:p>
        </w:tc>
        <w:tc>
          <w:tcPr>
            <w:tcW w:w="1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r>
      <w:tr>
        <w:trPr>
          <w:trHeight w:val="168"/>
        </w:trPr>
        <w:tc>
          <w:tcPr>
            <w:tcW w:w="267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2330" w:type="dxa"/>
            <w:vAlign w:val="bottom"/>
          </w:tcPr>
          <w:p>
            <w:pPr>
              <w:ind w:left="99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3200" w:type="dxa"/>
            <w:vAlign w:val="bottom"/>
          </w:tcPr>
          <w:p>
            <w:pPr>
              <w:ind w:left="640"/>
              <w:spacing w:after="0"/>
              <w:rPr>
                <w:sz w:val="20"/>
                <w:szCs w:val="20"/>
                <w:color w:val="auto"/>
              </w:rPr>
            </w:pPr>
            <w:r>
              <w:rPr>
                <w:rFonts w:ascii="Arial" w:cs="Arial" w:eastAsia="Arial" w:hAnsi="Arial"/>
                <w:sz w:val="14"/>
                <w:szCs w:val="14"/>
                <w:b w:val="1"/>
                <w:bCs w:val="1"/>
                <w:color w:val="auto"/>
              </w:rPr>
              <w:t>Type of Investment (4)(7)(9)(10)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Amount</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Investments (6)</w:t>
            </w:r>
          </w:p>
        </w:tc>
        <w:tc>
          <w:tcPr>
            <w:tcW w:w="1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r>
      <w:tr>
        <w:trPr>
          <w:trHeight w:val="139"/>
        </w:trPr>
        <w:tc>
          <w:tcPr>
            <w:tcW w:w="267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Non-Affiliate Investments — 169.6% (8)</w:t>
            </w:r>
          </w:p>
        </w:tc>
        <w:tc>
          <w:tcPr>
            <w:tcW w:w="233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6"/>
        </w:trPr>
        <w:tc>
          <w:tcPr>
            <w:tcW w:w="500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Non-Affiliate Debt Investments — 156.3% (8)</w:t>
            </w: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50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Non-Affiliate Debt Investments — Life Science — 49.9% (8)</w:t>
            </w: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27"/>
        </w:trPr>
        <w:tc>
          <w:tcPr>
            <w:tcW w:w="2670" w:type="dxa"/>
            <w:vAlign w:val="bottom"/>
          </w:tcPr>
          <w:p>
            <w:pPr>
              <w:spacing w:after="0" w:line="127" w:lineRule="exact"/>
              <w:rPr>
                <w:sz w:val="20"/>
                <w:szCs w:val="20"/>
                <w:color w:val="auto"/>
              </w:rPr>
            </w:pPr>
            <w:r>
              <w:rPr>
                <w:rFonts w:ascii="Arial" w:cs="Arial" w:eastAsia="Arial" w:hAnsi="Arial"/>
                <w:sz w:val="14"/>
                <w:szCs w:val="14"/>
                <w:color w:val="auto"/>
              </w:rPr>
              <w:t>Celsion Corporation (2)(5)(12)</w:t>
            </w:r>
          </w:p>
        </w:tc>
        <w:tc>
          <w:tcPr>
            <w:tcW w:w="2330" w:type="dxa"/>
            <w:vAlign w:val="bottom"/>
          </w:tcPr>
          <w:p>
            <w:pPr>
              <w:ind w:left="50"/>
              <w:spacing w:after="0" w:line="127" w:lineRule="exact"/>
              <w:rPr>
                <w:sz w:val="20"/>
                <w:szCs w:val="20"/>
                <w:color w:val="auto"/>
              </w:rPr>
            </w:pPr>
            <w:r>
              <w:rPr>
                <w:rFonts w:ascii="Arial" w:cs="Arial" w:eastAsia="Arial" w:hAnsi="Arial"/>
                <w:sz w:val="14"/>
                <w:szCs w:val="14"/>
                <w:color w:val="auto"/>
              </w:rPr>
              <w:t>Biotechnology</w:t>
            </w:r>
          </w:p>
        </w:tc>
        <w:tc>
          <w:tcPr>
            <w:tcW w:w="3300" w:type="dxa"/>
            <w:vAlign w:val="bottom"/>
            <w:gridSpan w:val="2"/>
          </w:tcPr>
          <w:p>
            <w:pPr>
              <w:ind w:left="100"/>
              <w:spacing w:after="0" w:line="127" w:lineRule="exact"/>
              <w:rPr>
                <w:sz w:val="20"/>
                <w:szCs w:val="20"/>
                <w:color w:val="auto"/>
              </w:rPr>
            </w:pPr>
            <w:r>
              <w:rPr>
                <w:rFonts w:ascii="Arial" w:cs="Arial" w:eastAsia="Arial" w:hAnsi="Arial"/>
                <w:sz w:val="14"/>
                <w:szCs w:val="14"/>
                <w:color w:val="auto"/>
              </w:rPr>
              <w:t>Term Loan (9.98% cash (Libor + 7.63%; Floor</w:t>
            </w:r>
          </w:p>
        </w:tc>
        <w:tc>
          <w:tcPr>
            <w:tcW w:w="200" w:type="dxa"/>
            <w:vAlign w:val="bottom"/>
            <w:gridSpan w:val="2"/>
          </w:tcPr>
          <w:p>
            <w:pPr>
              <w:jc w:val="right"/>
              <w:ind w:right="40"/>
              <w:spacing w:after="0" w:line="12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2,500</w:t>
            </w:r>
          </w:p>
        </w:tc>
        <w:tc>
          <w:tcPr>
            <w:tcW w:w="160" w:type="dxa"/>
            <w:vAlign w:val="bottom"/>
          </w:tcPr>
          <w:p>
            <w:pPr>
              <w:spacing w:after="0" w:line="127"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2,450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2,450</w:t>
            </w:r>
          </w:p>
        </w:tc>
      </w:tr>
      <w:tr>
        <w:trPr>
          <w:trHeight w:val="146"/>
        </w:trPr>
        <w:tc>
          <w:tcPr>
            <w:tcW w:w="2670" w:type="dxa"/>
            <w:vAlign w:val="bottom"/>
          </w:tcPr>
          <w:p>
            <w:pPr>
              <w:spacing w:after="0"/>
              <w:rPr>
                <w:sz w:val="12"/>
                <w:szCs w:val="12"/>
                <w:color w:val="auto"/>
              </w:rPr>
            </w:pPr>
          </w:p>
        </w:tc>
        <w:tc>
          <w:tcPr>
            <w:tcW w:w="233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9.63%), 4.00% ETP, Due 7/1/22)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670" w:type="dxa"/>
            <w:vAlign w:val="bottom"/>
          </w:tcPr>
          <w:p>
            <w:pPr>
              <w:spacing w:after="0"/>
              <w:rPr>
                <w:sz w:val="12"/>
                <w:szCs w:val="12"/>
                <w:color w:val="auto"/>
              </w:rPr>
            </w:pPr>
          </w:p>
        </w:tc>
        <w:tc>
          <w:tcPr>
            <w:tcW w:w="233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Term Loan (9.98% cash (Libor + 7.63%; Floor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2,500</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2,450</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2,450</w:t>
            </w:r>
          </w:p>
        </w:tc>
      </w:tr>
      <w:tr>
        <w:trPr>
          <w:trHeight w:val="164"/>
        </w:trPr>
        <w:tc>
          <w:tcPr>
            <w:tcW w:w="2670" w:type="dxa"/>
            <w:vAlign w:val="bottom"/>
          </w:tcPr>
          <w:p>
            <w:pPr>
              <w:spacing w:after="0"/>
              <w:rPr>
                <w:sz w:val="14"/>
                <w:szCs w:val="14"/>
                <w:color w:val="auto"/>
              </w:rPr>
            </w:pPr>
          </w:p>
        </w:tc>
        <w:tc>
          <w:tcPr>
            <w:tcW w:w="2330" w:type="dxa"/>
            <w:vAlign w:val="bottom"/>
          </w:tcPr>
          <w:p>
            <w:pPr>
              <w:spacing w:after="0"/>
              <w:rPr>
                <w:sz w:val="14"/>
                <w:szCs w:val="14"/>
                <w:color w:val="auto"/>
              </w:rPr>
            </w:pPr>
          </w:p>
        </w:tc>
        <w:tc>
          <w:tcPr>
            <w:tcW w:w="3300" w:type="dxa"/>
            <w:vAlign w:val="bottom"/>
            <w:gridSpan w:val="2"/>
          </w:tcPr>
          <w:p>
            <w:pPr>
              <w:ind w:left="100"/>
              <w:spacing w:after="0"/>
              <w:rPr>
                <w:sz w:val="20"/>
                <w:szCs w:val="20"/>
                <w:color w:val="auto"/>
              </w:rPr>
            </w:pPr>
            <w:r>
              <w:rPr>
                <w:rFonts w:ascii="Arial" w:cs="Arial" w:eastAsia="Arial" w:hAnsi="Arial"/>
                <w:sz w:val="14"/>
                <w:szCs w:val="14"/>
                <w:color w:val="auto"/>
              </w:rPr>
              <w:t>9.63%), 4.00% ETP, Due 7/1/22)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7"/>
        </w:trPr>
        <w:tc>
          <w:tcPr>
            <w:tcW w:w="267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Espero BioPharma, Inc. (2)(12)</w:t>
            </w:r>
          </w:p>
        </w:tc>
        <w:tc>
          <w:tcPr>
            <w:tcW w:w="2330" w:type="dxa"/>
            <w:vAlign w:val="bottom"/>
            <w:shd w:val="clear" w:color="auto" w:fill="CCEEFF"/>
          </w:tcPr>
          <w:p>
            <w:pPr>
              <w:ind w:left="50"/>
              <w:spacing w:after="0" w:line="127" w:lineRule="exact"/>
              <w:rPr>
                <w:sz w:val="20"/>
                <w:szCs w:val="20"/>
                <w:color w:val="auto"/>
              </w:rPr>
            </w:pPr>
            <w:r>
              <w:rPr>
                <w:rFonts w:ascii="Arial" w:cs="Arial" w:eastAsia="Arial" w:hAnsi="Arial"/>
                <w:sz w:val="14"/>
                <w:szCs w:val="14"/>
                <w:color w:val="auto"/>
              </w:rPr>
              <w:t>Biotechnology</w:t>
            </w:r>
          </w:p>
        </w:tc>
        <w:tc>
          <w:tcPr>
            <w:tcW w:w="3300" w:type="dxa"/>
            <w:vAlign w:val="bottom"/>
            <w:gridSpan w:val="2"/>
            <w:shd w:val="clear" w:color="auto" w:fill="CCEEFF"/>
          </w:tcPr>
          <w:p>
            <w:pPr>
              <w:ind w:left="100"/>
              <w:spacing w:after="0" w:line="127" w:lineRule="exact"/>
              <w:rPr>
                <w:sz w:val="20"/>
                <w:szCs w:val="20"/>
                <w:color w:val="auto"/>
              </w:rPr>
            </w:pPr>
            <w:r>
              <w:rPr>
                <w:rFonts w:ascii="Arial" w:cs="Arial" w:eastAsia="Arial" w:hAnsi="Arial"/>
                <w:sz w:val="14"/>
                <w:szCs w:val="14"/>
                <w:color w:val="auto"/>
              </w:rPr>
              <w:t>Term Loan (12.25% cash (Libor + 9.9%; Floor</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4,760</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4,760</w:t>
            </w:r>
          </w:p>
        </w:tc>
      </w:tr>
      <w:tr>
        <w:trPr>
          <w:trHeight w:val="164"/>
        </w:trPr>
        <w:tc>
          <w:tcPr>
            <w:tcW w:w="2670" w:type="dxa"/>
            <w:vAlign w:val="bottom"/>
            <w:shd w:val="clear" w:color="auto" w:fill="CCEEFF"/>
          </w:tcPr>
          <w:p>
            <w:pPr>
              <w:spacing w:after="0"/>
              <w:rPr>
                <w:sz w:val="14"/>
                <w:szCs w:val="14"/>
                <w:color w:val="auto"/>
              </w:rPr>
            </w:pPr>
          </w:p>
        </w:tc>
        <w:tc>
          <w:tcPr>
            <w:tcW w:w="233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12.00%), 4.00% ETP, Due 6/30/19)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27"/>
        </w:trPr>
        <w:tc>
          <w:tcPr>
            <w:tcW w:w="2670" w:type="dxa"/>
            <w:vAlign w:val="bottom"/>
          </w:tcPr>
          <w:p>
            <w:pPr>
              <w:spacing w:after="0" w:line="127" w:lineRule="exact"/>
              <w:rPr>
                <w:sz w:val="20"/>
                <w:szCs w:val="20"/>
                <w:color w:val="auto"/>
              </w:rPr>
            </w:pPr>
            <w:r>
              <w:rPr>
                <w:rFonts w:ascii="Arial" w:cs="Arial" w:eastAsia="Arial" w:hAnsi="Arial"/>
                <w:sz w:val="14"/>
                <w:szCs w:val="14"/>
                <w:color w:val="auto"/>
              </w:rPr>
              <w:t>Palatin Technologies, Inc. (2)(5)(12)</w:t>
            </w:r>
          </w:p>
        </w:tc>
        <w:tc>
          <w:tcPr>
            <w:tcW w:w="2330" w:type="dxa"/>
            <w:vAlign w:val="bottom"/>
          </w:tcPr>
          <w:p>
            <w:pPr>
              <w:ind w:left="50"/>
              <w:spacing w:after="0" w:line="127" w:lineRule="exact"/>
              <w:rPr>
                <w:sz w:val="20"/>
                <w:szCs w:val="20"/>
                <w:color w:val="auto"/>
              </w:rPr>
            </w:pPr>
            <w:r>
              <w:rPr>
                <w:rFonts w:ascii="Arial" w:cs="Arial" w:eastAsia="Arial" w:hAnsi="Arial"/>
                <w:sz w:val="14"/>
                <w:szCs w:val="14"/>
                <w:color w:val="auto"/>
              </w:rPr>
              <w:t>Biotechnology</w:t>
            </w:r>
          </w:p>
        </w:tc>
        <w:tc>
          <w:tcPr>
            <w:tcW w:w="3300" w:type="dxa"/>
            <w:vAlign w:val="bottom"/>
            <w:gridSpan w:val="2"/>
          </w:tcPr>
          <w:p>
            <w:pPr>
              <w:ind w:left="100"/>
              <w:spacing w:after="0" w:line="127" w:lineRule="exact"/>
              <w:rPr>
                <w:sz w:val="20"/>
                <w:szCs w:val="20"/>
                <w:color w:val="auto"/>
              </w:rPr>
            </w:pPr>
            <w:r>
              <w:rPr>
                <w:rFonts w:ascii="Arial" w:cs="Arial" w:eastAsia="Arial" w:hAnsi="Arial"/>
                <w:sz w:val="14"/>
                <w:szCs w:val="14"/>
                <w:color w:val="auto"/>
              </w:rPr>
              <w:t>Term Loan (10.85% cash (Libor + 8.50%; Floor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1,167</w:t>
            </w:r>
          </w:p>
        </w:tc>
        <w:tc>
          <w:tcPr>
            <w:tcW w:w="160" w:type="dxa"/>
            <w:vAlign w:val="bottom"/>
          </w:tcPr>
          <w:p>
            <w:pPr>
              <w:spacing w:after="0"/>
              <w:rPr>
                <w:sz w:val="11"/>
                <w:szCs w:val="11"/>
                <w:color w:val="auto"/>
              </w:rPr>
            </w:pPr>
          </w:p>
        </w:tc>
        <w:tc>
          <w:tcPr>
            <w:tcW w:w="98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1,156</w:t>
            </w: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1,156</w:t>
            </w:r>
          </w:p>
        </w:tc>
      </w:tr>
      <w:tr>
        <w:trPr>
          <w:trHeight w:val="146"/>
        </w:trPr>
        <w:tc>
          <w:tcPr>
            <w:tcW w:w="2670" w:type="dxa"/>
            <w:vAlign w:val="bottom"/>
          </w:tcPr>
          <w:p>
            <w:pPr>
              <w:spacing w:after="0"/>
              <w:rPr>
                <w:sz w:val="12"/>
                <w:szCs w:val="12"/>
                <w:color w:val="auto"/>
              </w:rPr>
            </w:pPr>
          </w:p>
        </w:tc>
        <w:tc>
          <w:tcPr>
            <w:tcW w:w="233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9.00%), 5.00% ETP, Due 8/1/19)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670" w:type="dxa"/>
            <w:vAlign w:val="bottom"/>
          </w:tcPr>
          <w:p>
            <w:pPr>
              <w:spacing w:after="0"/>
              <w:rPr>
                <w:sz w:val="12"/>
                <w:szCs w:val="12"/>
                <w:color w:val="auto"/>
              </w:rPr>
            </w:pPr>
          </w:p>
        </w:tc>
        <w:tc>
          <w:tcPr>
            <w:tcW w:w="233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Term Loan (10.85% cash (Libor + 8.50%; Floor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1,167</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1,167</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1,167</w:t>
            </w:r>
          </w:p>
        </w:tc>
      </w:tr>
      <w:tr>
        <w:trPr>
          <w:trHeight w:val="164"/>
        </w:trPr>
        <w:tc>
          <w:tcPr>
            <w:tcW w:w="2670" w:type="dxa"/>
            <w:vAlign w:val="bottom"/>
          </w:tcPr>
          <w:p>
            <w:pPr>
              <w:spacing w:after="0"/>
              <w:rPr>
                <w:sz w:val="14"/>
                <w:szCs w:val="14"/>
                <w:color w:val="auto"/>
              </w:rPr>
            </w:pPr>
          </w:p>
        </w:tc>
        <w:tc>
          <w:tcPr>
            <w:tcW w:w="2330" w:type="dxa"/>
            <w:vAlign w:val="bottom"/>
          </w:tcPr>
          <w:p>
            <w:pPr>
              <w:spacing w:after="0"/>
              <w:rPr>
                <w:sz w:val="14"/>
                <w:szCs w:val="14"/>
                <w:color w:val="auto"/>
              </w:rPr>
            </w:pPr>
          </w:p>
        </w:tc>
        <w:tc>
          <w:tcPr>
            <w:tcW w:w="3300" w:type="dxa"/>
            <w:vAlign w:val="bottom"/>
            <w:gridSpan w:val="2"/>
          </w:tcPr>
          <w:p>
            <w:pPr>
              <w:ind w:left="100"/>
              <w:spacing w:after="0"/>
              <w:rPr>
                <w:sz w:val="20"/>
                <w:szCs w:val="20"/>
                <w:color w:val="auto"/>
              </w:rPr>
            </w:pPr>
            <w:r>
              <w:rPr>
                <w:rFonts w:ascii="Arial" w:cs="Arial" w:eastAsia="Arial" w:hAnsi="Arial"/>
                <w:sz w:val="14"/>
                <w:szCs w:val="14"/>
                <w:color w:val="auto"/>
              </w:rPr>
              <w:t>9.00%), 3.27% ETP, Due 8/1/19)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7"/>
        </w:trPr>
        <w:tc>
          <w:tcPr>
            <w:tcW w:w="267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vTv Therapeutics Inc. (2)(5)(12)</w:t>
            </w:r>
          </w:p>
        </w:tc>
        <w:tc>
          <w:tcPr>
            <w:tcW w:w="2330" w:type="dxa"/>
            <w:vAlign w:val="bottom"/>
            <w:shd w:val="clear" w:color="auto" w:fill="CCEEFF"/>
          </w:tcPr>
          <w:p>
            <w:pPr>
              <w:ind w:left="50"/>
              <w:spacing w:after="0" w:line="127" w:lineRule="exact"/>
              <w:rPr>
                <w:sz w:val="20"/>
                <w:szCs w:val="20"/>
                <w:color w:val="auto"/>
              </w:rPr>
            </w:pPr>
            <w:r>
              <w:rPr>
                <w:rFonts w:ascii="Arial" w:cs="Arial" w:eastAsia="Arial" w:hAnsi="Arial"/>
                <w:sz w:val="14"/>
                <w:szCs w:val="14"/>
                <w:color w:val="auto"/>
              </w:rPr>
              <w:t>Biotechnology</w:t>
            </w:r>
          </w:p>
        </w:tc>
        <w:tc>
          <w:tcPr>
            <w:tcW w:w="3300" w:type="dxa"/>
            <w:vAlign w:val="bottom"/>
            <w:gridSpan w:val="2"/>
            <w:shd w:val="clear" w:color="auto" w:fill="CCEEFF"/>
          </w:tcPr>
          <w:p>
            <w:pPr>
              <w:ind w:left="100"/>
              <w:spacing w:after="0" w:line="127" w:lineRule="exact"/>
              <w:rPr>
                <w:sz w:val="20"/>
                <w:szCs w:val="20"/>
                <w:color w:val="auto"/>
              </w:rPr>
            </w:pPr>
            <w:r>
              <w:rPr>
                <w:rFonts w:ascii="Arial" w:cs="Arial" w:eastAsia="Arial" w:hAnsi="Arial"/>
                <w:sz w:val="14"/>
                <w:szCs w:val="14"/>
                <w:color w:val="auto"/>
              </w:rPr>
              <w:t>Term Loan (12.35% cash (Libor + 10.00%; Floor</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4,167</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4,136</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4,136</w:t>
            </w:r>
          </w:p>
        </w:tc>
      </w:tr>
      <w:tr>
        <w:trPr>
          <w:trHeight w:val="146"/>
        </w:trPr>
        <w:tc>
          <w:tcPr>
            <w:tcW w:w="2670" w:type="dxa"/>
            <w:vAlign w:val="bottom"/>
            <w:shd w:val="clear" w:color="auto" w:fill="CCEEFF"/>
          </w:tcPr>
          <w:p>
            <w:pPr>
              <w:spacing w:after="0"/>
              <w:rPr>
                <w:sz w:val="12"/>
                <w:szCs w:val="12"/>
                <w:color w:val="auto"/>
              </w:rPr>
            </w:pPr>
          </w:p>
        </w:tc>
        <w:tc>
          <w:tcPr>
            <w:tcW w:w="233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10.50%), 6.00% ETP, Due 5/1/20)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70" w:type="dxa"/>
            <w:vAlign w:val="bottom"/>
            <w:shd w:val="clear" w:color="auto" w:fill="CCEEFF"/>
          </w:tcPr>
          <w:p>
            <w:pPr>
              <w:spacing w:after="0"/>
              <w:rPr>
                <w:sz w:val="12"/>
                <w:szCs w:val="12"/>
                <w:color w:val="auto"/>
              </w:rPr>
            </w:pPr>
          </w:p>
        </w:tc>
        <w:tc>
          <w:tcPr>
            <w:tcW w:w="233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(12.35% cash (Libor + 10.00%;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3,281</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3,250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3,250</w:t>
            </w:r>
          </w:p>
        </w:tc>
      </w:tr>
      <w:tr>
        <w:trPr>
          <w:trHeight w:val="164"/>
        </w:trPr>
        <w:tc>
          <w:tcPr>
            <w:tcW w:w="2670" w:type="dxa"/>
            <w:vAlign w:val="bottom"/>
            <w:shd w:val="clear" w:color="auto" w:fill="CCEEFF"/>
          </w:tcPr>
          <w:p>
            <w:pPr>
              <w:spacing w:after="0"/>
              <w:rPr>
                <w:sz w:val="14"/>
                <w:szCs w:val="14"/>
                <w:color w:val="auto"/>
              </w:rPr>
            </w:pPr>
          </w:p>
        </w:tc>
        <w:tc>
          <w:tcPr>
            <w:tcW w:w="233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10.50%), 6.00% ETP, Due 10/1/20)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27"/>
        </w:trPr>
        <w:tc>
          <w:tcPr>
            <w:tcW w:w="2670" w:type="dxa"/>
            <w:vAlign w:val="bottom"/>
          </w:tcPr>
          <w:p>
            <w:pPr>
              <w:spacing w:after="0" w:line="127" w:lineRule="exact"/>
              <w:rPr>
                <w:sz w:val="20"/>
                <w:szCs w:val="20"/>
                <w:color w:val="auto"/>
              </w:rPr>
            </w:pPr>
            <w:r>
              <w:rPr>
                <w:rFonts w:ascii="Arial" w:cs="Arial" w:eastAsia="Arial" w:hAnsi="Arial"/>
                <w:sz w:val="14"/>
                <w:szCs w:val="14"/>
                <w:color w:val="auto"/>
              </w:rPr>
              <w:t>Titan Pharmaceuticals, Inc. (2)(5)(12)</w:t>
            </w:r>
          </w:p>
        </w:tc>
        <w:tc>
          <w:tcPr>
            <w:tcW w:w="2330" w:type="dxa"/>
            <w:vAlign w:val="bottom"/>
          </w:tcPr>
          <w:p>
            <w:pPr>
              <w:ind w:left="50"/>
              <w:spacing w:after="0" w:line="127" w:lineRule="exact"/>
              <w:rPr>
                <w:sz w:val="20"/>
                <w:szCs w:val="20"/>
                <w:color w:val="auto"/>
              </w:rPr>
            </w:pPr>
            <w:r>
              <w:rPr>
                <w:rFonts w:ascii="Arial" w:cs="Arial" w:eastAsia="Arial" w:hAnsi="Arial"/>
                <w:sz w:val="14"/>
                <w:szCs w:val="14"/>
                <w:color w:val="auto"/>
              </w:rPr>
              <w:t>Drug Delivery</w:t>
            </w:r>
          </w:p>
        </w:tc>
        <w:tc>
          <w:tcPr>
            <w:tcW w:w="3300" w:type="dxa"/>
            <w:vAlign w:val="bottom"/>
            <w:gridSpan w:val="2"/>
          </w:tcPr>
          <w:p>
            <w:pPr>
              <w:ind w:left="100"/>
              <w:spacing w:after="0" w:line="127" w:lineRule="exact"/>
              <w:rPr>
                <w:sz w:val="20"/>
                <w:szCs w:val="20"/>
                <w:color w:val="auto"/>
              </w:rPr>
            </w:pPr>
            <w:r>
              <w:rPr>
                <w:rFonts w:ascii="Arial" w:cs="Arial" w:eastAsia="Arial" w:hAnsi="Arial"/>
                <w:sz w:val="14"/>
                <w:szCs w:val="14"/>
                <w:color w:val="auto"/>
              </w:rPr>
              <w:t>Term Loan (10.75% cash (Libor + 8.40%; Floor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1,600</w:t>
            </w:r>
          </w:p>
        </w:tc>
        <w:tc>
          <w:tcPr>
            <w:tcW w:w="160" w:type="dxa"/>
            <w:vAlign w:val="bottom"/>
          </w:tcPr>
          <w:p>
            <w:pPr>
              <w:spacing w:after="0"/>
              <w:rPr>
                <w:sz w:val="11"/>
                <w:szCs w:val="11"/>
                <w:color w:val="auto"/>
              </w:rPr>
            </w:pPr>
          </w:p>
        </w:tc>
        <w:tc>
          <w:tcPr>
            <w:tcW w:w="98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1,495</w:t>
            </w: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1,495</w:t>
            </w:r>
          </w:p>
        </w:tc>
      </w:tr>
      <w:tr>
        <w:trPr>
          <w:trHeight w:val="164"/>
        </w:trPr>
        <w:tc>
          <w:tcPr>
            <w:tcW w:w="2670" w:type="dxa"/>
            <w:vAlign w:val="bottom"/>
          </w:tcPr>
          <w:p>
            <w:pPr>
              <w:spacing w:after="0"/>
              <w:rPr>
                <w:sz w:val="14"/>
                <w:szCs w:val="14"/>
                <w:color w:val="auto"/>
              </w:rPr>
            </w:pPr>
          </w:p>
        </w:tc>
        <w:tc>
          <w:tcPr>
            <w:tcW w:w="2330" w:type="dxa"/>
            <w:vAlign w:val="bottom"/>
          </w:tcPr>
          <w:p>
            <w:pPr>
              <w:spacing w:after="0"/>
              <w:rPr>
                <w:sz w:val="14"/>
                <w:szCs w:val="14"/>
                <w:color w:val="auto"/>
              </w:rPr>
            </w:pPr>
          </w:p>
        </w:tc>
        <w:tc>
          <w:tcPr>
            <w:tcW w:w="3300" w:type="dxa"/>
            <w:vAlign w:val="bottom"/>
            <w:gridSpan w:val="2"/>
          </w:tcPr>
          <w:p>
            <w:pPr>
              <w:ind w:left="100"/>
              <w:spacing w:after="0"/>
              <w:rPr>
                <w:sz w:val="20"/>
                <w:szCs w:val="20"/>
                <w:color w:val="auto"/>
              </w:rPr>
            </w:pPr>
            <w:r>
              <w:rPr>
                <w:rFonts w:ascii="Arial" w:cs="Arial" w:eastAsia="Arial" w:hAnsi="Arial"/>
                <w:sz w:val="14"/>
                <w:szCs w:val="14"/>
                <w:color w:val="auto"/>
              </w:rPr>
              <w:t>9.50%), 5.00% ETP, Due 6/1/21)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7"/>
        </w:trPr>
        <w:tc>
          <w:tcPr>
            <w:tcW w:w="267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Aerin Medical, Inc. (2)(12)</w:t>
            </w:r>
          </w:p>
        </w:tc>
        <w:tc>
          <w:tcPr>
            <w:tcW w:w="2330" w:type="dxa"/>
            <w:vAlign w:val="bottom"/>
            <w:shd w:val="clear" w:color="auto" w:fill="CCEEFF"/>
          </w:tcPr>
          <w:p>
            <w:pPr>
              <w:ind w:left="50"/>
              <w:spacing w:after="0" w:line="127" w:lineRule="exact"/>
              <w:rPr>
                <w:sz w:val="20"/>
                <w:szCs w:val="20"/>
                <w:color w:val="auto"/>
              </w:rPr>
            </w:pPr>
            <w:r>
              <w:rPr>
                <w:rFonts w:ascii="Arial" w:cs="Arial" w:eastAsia="Arial" w:hAnsi="Arial"/>
                <w:sz w:val="14"/>
                <w:szCs w:val="14"/>
                <w:color w:val="auto"/>
              </w:rPr>
              <w:t>Medical Device</w:t>
            </w:r>
          </w:p>
        </w:tc>
        <w:tc>
          <w:tcPr>
            <w:tcW w:w="3300" w:type="dxa"/>
            <w:vAlign w:val="bottom"/>
            <w:gridSpan w:val="2"/>
            <w:shd w:val="clear" w:color="auto" w:fill="CCEEFF"/>
          </w:tcPr>
          <w:p>
            <w:pPr>
              <w:ind w:left="100"/>
              <w:spacing w:after="0" w:line="127" w:lineRule="exact"/>
              <w:rPr>
                <w:sz w:val="20"/>
                <w:szCs w:val="20"/>
                <w:color w:val="auto"/>
              </w:rPr>
            </w:pPr>
            <w:r>
              <w:rPr>
                <w:rFonts w:ascii="Arial" w:cs="Arial" w:eastAsia="Arial" w:hAnsi="Arial"/>
                <w:sz w:val="14"/>
                <w:szCs w:val="14"/>
                <w:color w:val="auto"/>
              </w:rPr>
              <w:t>Term Loan (9.80% cash (Libor + 7.45%; Floor</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4,000</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3,891</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3,891</w:t>
            </w:r>
          </w:p>
        </w:tc>
      </w:tr>
      <w:tr>
        <w:trPr>
          <w:trHeight w:val="146"/>
        </w:trPr>
        <w:tc>
          <w:tcPr>
            <w:tcW w:w="2670" w:type="dxa"/>
            <w:vAlign w:val="bottom"/>
            <w:shd w:val="clear" w:color="auto" w:fill="CCEEFF"/>
          </w:tcPr>
          <w:p>
            <w:pPr>
              <w:spacing w:after="0"/>
              <w:rPr>
                <w:sz w:val="12"/>
                <w:szCs w:val="12"/>
                <w:color w:val="auto"/>
              </w:rPr>
            </w:pPr>
          </w:p>
        </w:tc>
        <w:tc>
          <w:tcPr>
            <w:tcW w:w="233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8.75%), 4.00% ETP, Due 1/1/22)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70" w:type="dxa"/>
            <w:vAlign w:val="bottom"/>
            <w:shd w:val="clear" w:color="auto" w:fill="CCEEFF"/>
          </w:tcPr>
          <w:p>
            <w:pPr>
              <w:spacing w:after="0"/>
              <w:rPr>
                <w:sz w:val="12"/>
                <w:szCs w:val="12"/>
                <w:color w:val="auto"/>
              </w:rPr>
            </w:pPr>
          </w:p>
        </w:tc>
        <w:tc>
          <w:tcPr>
            <w:tcW w:w="233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(9.80% cash (Libor + 7.45%;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2,966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2,966</w:t>
            </w:r>
          </w:p>
        </w:tc>
      </w:tr>
      <w:tr>
        <w:trPr>
          <w:trHeight w:val="146"/>
        </w:trPr>
        <w:tc>
          <w:tcPr>
            <w:tcW w:w="2670" w:type="dxa"/>
            <w:vAlign w:val="bottom"/>
            <w:shd w:val="clear" w:color="auto" w:fill="CCEEFF"/>
          </w:tcPr>
          <w:p>
            <w:pPr>
              <w:spacing w:after="0"/>
              <w:rPr>
                <w:sz w:val="12"/>
                <w:szCs w:val="12"/>
                <w:color w:val="auto"/>
              </w:rPr>
            </w:pPr>
          </w:p>
        </w:tc>
        <w:tc>
          <w:tcPr>
            <w:tcW w:w="233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8.75%), 4.00% ETP, Due 1/1/22)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70" w:type="dxa"/>
            <w:vAlign w:val="bottom"/>
            <w:shd w:val="clear" w:color="auto" w:fill="CCEEFF"/>
          </w:tcPr>
          <w:p>
            <w:pPr>
              <w:spacing w:after="0"/>
              <w:rPr>
                <w:sz w:val="12"/>
                <w:szCs w:val="12"/>
                <w:color w:val="auto"/>
              </w:rPr>
            </w:pPr>
          </w:p>
        </w:tc>
        <w:tc>
          <w:tcPr>
            <w:tcW w:w="233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(9.80% cash (Libor + 7.45%;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2,966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2,966</w:t>
            </w:r>
          </w:p>
        </w:tc>
      </w:tr>
      <w:tr>
        <w:trPr>
          <w:trHeight w:val="164"/>
        </w:trPr>
        <w:tc>
          <w:tcPr>
            <w:tcW w:w="2670" w:type="dxa"/>
            <w:vAlign w:val="bottom"/>
            <w:shd w:val="clear" w:color="auto" w:fill="CCEEFF"/>
          </w:tcPr>
          <w:p>
            <w:pPr>
              <w:spacing w:after="0"/>
              <w:rPr>
                <w:sz w:val="14"/>
                <w:szCs w:val="14"/>
                <w:color w:val="auto"/>
              </w:rPr>
            </w:pPr>
          </w:p>
        </w:tc>
        <w:tc>
          <w:tcPr>
            <w:tcW w:w="233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8.75%), 4.00% ETP, Due 1/1/22)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27"/>
        </w:trPr>
        <w:tc>
          <w:tcPr>
            <w:tcW w:w="2670" w:type="dxa"/>
            <w:vAlign w:val="bottom"/>
          </w:tcPr>
          <w:p>
            <w:pPr>
              <w:spacing w:after="0" w:line="127" w:lineRule="exact"/>
              <w:rPr>
                <w:sz w:val="20"/>
                <w:szCs w:val="20"/>
                <w:color w:val="auto"/>
              </w:rPr>
            </w:pPr>
            <w:r>
              <w:rPr>
                <w:rFonts w:ascii="Arial" w:cs="Arial" w:eastAsia="Arial" w:hAnsi="Arial"/>
                <w:sz w:val="14"/>
                <w:szCs w:val="14"/>
                <w:color w:val="auto"/>
              </w:rPr>
              <w:t>Conventus Orthopaedics, Inc. (2)(12)</w:t>
            </w:r>
          </w:p>
        </w:tc>
        <w:tc>
          <w:tcPr>
            <w:tcW w:w="2330" w:type="dxa"/>
            <w:vAlign w:val="bottom"/>
          </w:tcPr>
          <w:p>
            <w:pPr>
              <w:ind w:left="50"/>
              <w:spacing w:after="0" w:line="127" w:lineRule="exact"/>
              <w:rPr>
                <w:sz w:val="20"/>
                <w:szCs w:val="20"/>
                <w:color w:val="auto"/>
              </w:rPr>
            </w:pPr>
            <w:r>
              <w:rPr>
                <w:rFonts w:ascii="Arial" w:cs="Arial" w:eastAsia="Arial" w:hAnsi="Arial"/>
                <w:sz w:val="14"/>
                <w:szCs w:val="14"/>
                <w:color w:val="auto"/>
              </w:rPr>
              <w:t>Medical Device</w:t>
            </w:r>
          </w:p>
        </w:tc>
        <w:tc>
          <w:tcPr>
            <w:tcW w:w="100" w:type="dxa"/>
            <w:vAlign w:val="bottom"/>
          </w:tcPr>
          <w:p>
            <w:pPr>
              <w:spacing w:after="0"/>
              <w:rPr>
                <w:sz w:val="11"/>
                <w:szCs w:val="11"/>
                <w:color w:val="auto"/>
              </w:rPr>
            </w:pPr>
          </w:p>
        </w:tc>
        <w:tc>
          <w:tcPr>
            <w:tcW w:w="3200" w:type="dxa"/>
            <w:vAlign w:val="bottom"/>
          </w:tcPr>
          <w:p>
            <w:pPr>
              <w:spacing w:after="0" w:line="127" w:lineRule="exact"/>
              <w:rPr>
                <w:sz w:val="20"/>
                <w:szCs w:val="20"/>
                <w:color w:val="auto"/>
              </w:rPr>
            </w:pPr>
            <w:r>
              <w:rPr>
                <w:rFonts w:ascii="Arial" w:cs="Arial" w:eastAsia="Arial" w:hAnsi="Arial"/>
                <w:sz w:val="14"/>
                <w:szCs w:val="14"/>
                <w:color w:val="auto"/>
              </w:rPr>
              <w:t>Term Loan (10.35% cash (Libor + 8.00%; Floor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4,000</w:t>
            </w:r>
          </w:p>
        </w:tc>
        <w:tc>
          <w:tcPr>
            <w:tcW w:w="160" w:type="dxa"/>
            <w:vAlign w:val="bottom"/>
          </w:tcPr>
          <w:p>
            <w:pPr>
              <w:spacing w:after="0"/>
              <w:rPr>
                <w:sz w:val="11"/>
                <w:szCs w:val="11"/>
                <w:color w:val="auto"/>
              </w:rPr>
            </w:pPr>
          </w:p>
        </w:tc>
        <w:tc>
          <w:tcPr>
            <w:tcW w:w="98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3,949</w:t>
            </w: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3,949</w:t>
            </w:r>
          </w:p>
        </w:tc>
      </w:tr>
      <w:tr>
        <w:trPr>
          <w:trHeight w:val="146"/>
        </w:trPr>
        <w:tc>
          <w:tcPr>
            <w:tcW w:w="2670" w:type="dxa"/>
            <w:vAlign w:val="bottom"/>
          </w:tcPr>
          <w:p>
            <w:pPr>
              <w:spacing w:after="0"/>
              <w:rPr>
                <w:sz w:val="12"/>
                <w:szCs w:val="12"/>
                <w:color w:val="auto"/>
              </w:rPr>
            </w:pPr>
          </w:p>
        </w:tc>
        <w:tc>
          <w:tcPr>
            <w:tcW w:w="233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9.25%), 6.00% ETP, Due 6/1/21)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670" w:type="dxa"/>
            <w:vAlign w:val="bottom"/>
          </w:tcPr>
          <w:p>
            <w:pPr>
              <w:spacing w:after="0"/>
              <w:rPr>
                <w:sz w:val="12"/>
                <w:szCs w:val="12"/>
                <w:color w:val="auto"/>
              </w:rPr>
            </w:pPr>
          </w:p>
        </w:tc>
        <w:tc>
          <w:tcPr>
            <w:tcW w:w="233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Term Loan (10.35% cash (Libor + 8.00%; Floor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4,000</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3,949</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3,949</w:t>
            </w:r>
          </w:p>
        </w:tc>
      </w:tr>
      <w:tr>
        <w:trPr>
          <w:trHeight w:val="146"/>
        </w:trPr>
        <w:tc>
          <w:tcPr>
            <w:tcW w:w="2670" w:type="dxa"/>
            <w:vAlign w:val="bottom"/>
          </w:tcPr>
          <w:p>
            <w:pPr>
              <w:spacing w:after="0"/>
              <w:rPr>
                <w:sz w:val="12"/>
                <w:szCs w:val="12"/>
                <w:color w:val="auto"/>
              </w:rPr>
            </w:pPr>
          </w:p>
        </w:tc>
        <w:tc>
          <w:tcPr>
            <w:tcW w:w="233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9.25%), 6.00% ETP, Due 6/1/21)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670" w:type="dxa"/>
            <w:vAlign w:val="bottom"/>
          </w:tcPr>
          <w:p>
            <w:pPr>
              <w:spacing w:after="0"/>
              <w:rPr>
                <w:sz w:val="12"/>
                <w:szCs w:val="12"/>
                <w:color w:val="auto"/>
              </w:rPr>
            </w:pPr>
          </w:p>
        </w:tc>
        <w:tc>
          <w:tcPr>
            <w:tcW w:w="233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Term Loan (10.35% cash (Libor + 8.00%; Floor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4,000</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3,949</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3,949</w:t>
            </w:r>
          </w:p>
        </w:tc>
      </w:tr>
      <w:tr>
        <w:trPr>
          <w:trHeight w:val="164"/>
        </w:trPr>
        <w:tc>
          <w:tcPr>
            <w:tcW w:w="2670" w:type="dxa"/>
            <w:vAlign w:val="bottom"/>
          </w:tcPr>
          <w:p>
            <w:pPr>
              <w:spacing w:after="0"/>
              <w:rPr>
                <w:sz w:val="14"/>
                <w:szCs w:val="14"/>
                <w:color w:val="auto"/>
              </w:rPr>
            </w:pPr>
          </w:p>
        </w:tc>
        <w:tc>
          <w:tcPr>
            <w:tcW w:w="2330" w:type="dxa"/>
            <w:vAlign w:val="bottom"/>
          </w:tcPr>
          <w:p>
            <w:pPr>
              <w:spacing w:after="0"/>
              <w:rPr>
                <w:sz w:val="14"/>
                <w:szCs w:val="14"/>
                <w:color w:val="auto"/>
              </w:rPr>
            </w:pPr>
          </w:p>
        </w:tc>
        <w:tc>
          <w:tcPr>
            <w:tcW w:w="3300" w:type="dxa"/>
            <w:vAlign w:val="bottom"/>
            <w:gridSpan w:val="2"/>
          </w:tcPr>
          <w:p>
            <w:pPr>
              <w:ind w:left="100"/>
              <w:spacing w:after="0"/>
              <w:rPr>
                <w:sz w:val="20"/>
                <w:szCs w:val="20"/>
                <w:color w:val="auto"/>
              </w:rPr>
            </w:pPr>
            <w:r>
              <w:rPr>
                <w:rFonts w:ascii="Arial" w:cs="Arial" w:eastAsia="Arial" w:hAnsi="Arial"/>
                <w:sz w:val="14"/>
                <w:szCs w:val="14"/>
                <w:color w:val="auto"/>
              </w:rPr>
              <w:t>9.25%), 6.00% ETP, Due 6/1/21)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7"/>
        </w:trPr>
        <w:tc>
          <w:tcPr>
            <w:tcW w:w="267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CSA Medical, Inc. (2)(12)</w:t>
            </w:r>
          </w:p>
        </w:tc>
        <w:tc>
          <w:tcPr>
            <w:tcW w:w="2330" w:type="dxa"/>
            <w:vAlign w:val="bottom"/>
            <w:shd w:val="clear" w:color="auto" w:fill="CCEEFF"/>
          </w:tcPr>
          <w:p>
            <w:pPr>
              <w:ind w:left="50"/>
              <w:spacing w:after="0" w:line="127" w:lineRule="exact"/>
              <w:rPr>
                <w:sz w:val="20"/>
                <w:szCs w:val="20"/>
                <w:color w:val="auto"/>
              </w:rPr>
            </w:pPr>
            <w:r>
              <w:rPr>
                <w:rFonts w:ascii="Arial" w:cs="Arial" w:eastAsia="Arial" w:hAnsi="Arial"/>
                <w:sz w:val="14"/>
                <w:szCs w:val="14"/>
                <w:color w:val="auto"/>
              </w:rPr>
              <w:t>Medical Device</w:t>
            </w:r>
          </w:p>
        </w:tc>
        <w:tc>
          <w:tcPr>
            <w:tcW w:w="3300" w:type="dxa"/>
            <w:vAlign w:val="bottom"/>
            <w:gridSpan w:val="2"/>
            <w:shd w:val="clear" w:color="auto" w:fill="CCEEFF"/>
          </w:tcPr>
          <w:p>
            <w:pPr>
              <w:ind w:left="100"/>
              <w:spacing w:after="0" w:line="127" w:lineRule="exact"/>
              <w:rPr>
                <w:sz w:val="20"/>
                <w:szCs w:val="20"/>
                <w:color w:val="auto"/>
              </w:rPr>
            </w:pPr>
            <w:r>
              <w:rPr>
                <w:rFonts w:ascii="Arial" w:cs="Arial" w:eastAsia="Arial" w:hAnsi="Arial"/>
                <w:sz w:val="14"/>
                <w:szCs w:val="14"/>
                <w:color w:val="auto"/>
              </w:rPr>
              <w:t>Term Loan (10.28% cash (Libor + 7.93%; Floor</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6,000</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5,768</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5,768</w:t>
            </w:r>
          </w:p>
        </w:tc>
      </w:tr>
      <w:tr>
        <w:trPr>
          <w:trHeight w:val="164"/>
        </w:trPr>
        <w:tc>
          <w:tcPr>
            <w:tcW w:w="2670" w:type="dxa"/>
            <w:vAlign w:val="bottom"/>
            <w:shd w:val="clear" w:color="auto" w:fill="CCEEFF"/>
          </w:tcPr>
          <w:p>
            <w:pPr>
              <w:spacing w:after="0"/>
              <w:rPr>
                <w:sz w:val="14"/>
                <w:szCs w:val="14"/>
                <w:color w:val="auto"/>
              </w:rPr>
            </w:pPr>
          </w:p>
        </w:tc>
        <w:tc>
          <w:tcPr>
            <w:tcW w:w="233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10.00%), 5.00% ETP, Due 10/1/22)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27"/>
        </w:trPr>
        <w:tc>
          <w:tcPr>
            <w:tcW w:w="2670" w:type="dxa"/>
            <w:vAlign w:val="bottom"/>
          </w:tcPr>
          <w:p>
            <w:pPr>
              <w:spacing w:after="0" w:line="127" w:lineRule="exact"/>
              <w:rPr>
                <w:sz w:val="20"/>
                <w:szCs w:val="20"/>
                <w:color w:val="auto"/>
              </w:rPr>
            </w:pPr>
            <w:r>
              <w:rPr>
                <w:rFonts w:ascii="Arial" w:cs="Arial" w:eastAsia="Arial" w:hAnsi="Arial"/>
                <w:sz w:val="14"/>
                <w:szCs w:val="14"/>
                <w:color w:val="auto"/>
              </w:rPr>
              <w:t>Lantos Technologies, Inc. (2)(12)</w:t>
            </w:r>
          </w:p>
        </w:tc>
        <w:tc>
          <w:tcPr>
            <w:tcW w:w="2330" w:type="dxa"/>
            <w:vAlign w:val="bottom"/>
          </w:tcPr>
          <w:p>
            <w:pPr>
              <w:ind w:left="50"/>
              <w:spacing w:after="0" w:line="127" w:lineRule="exact"/>
              <w:rPr>
                <w:sz w:val="20"/>
                <w:szCs w:val="20"/>
                <w:color w:val="auto"/>
              </w:rPr>
            </w:pPr>
            <w:r>
              <w:rPr>
                <w:rFonts w:ascii="Arial" w:cs="Arial" w:eastAsia="Arial" w:hAnsi="Arial"/>
                <w:sz w:val="14"/>
                <w:szCs w:val="14"/>
                <w:color w:val="auto"/>
              </w:rPr>
              <w:t>Medical Device</w:t>
            </w:r>
          </w:p>
        </w:tc>
        <w:tc>
          <w:tcPr>
            <w:tcW w:w="3300" w:type="dxa"/>
            <w:vAlign w:val="bottom"/>
            <w:gridSpan w:val="2"/>
          </w:tcPr>
          <w:p>
            <w:pPr>
              <w:ind w:left="100"/>
              <w:spacing w:after="0" w:line="127" w:lineRule="exact"/>
              <w:rPr>
                <w:sz w:val="20"/>
                <w:szCs w:val="20"/>
                <w:color w:val="auto"/>
              </w:rPr>
            </w:pPr>
            <w:r>
              <w:rPr>
                <w:rFonts w:ascii="Arial" w:cs="Arial" w:eastAsia="Arial" w:hAnsi="Arial"/>
                <w:sz w:val="14"/>
                <w:szCs w:val="14"/>
                <w:color w:val="auto"/>
              </w:rPr>
              <w:t>Term Loan (10.78% cash (Libor + 8.43%; Floor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4,000</w:t>
            </w:r>
          </w:p>
        </w:tc>
        <w:tc>
          <w:tcPr>
            <w:tcW w:w="160" w:type="dxa"/>
            <w:vAlign w:val="bottom"/>
          </w:tcPr>
          <w:p>
            <w:pPr>
              <w:spacing w:after="0"/>
              <w:rPr>
                <w:sz w:val="11"/>
                <w:szCs w:val="11"/>
                <w:color w:val="auto"/>
              </w:rPr>
            </w:pPr>
          </w:p>
        </w:tc>
        <w:tc>
          <w:tcPr>
            <w:tcW w:w="98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3,563</w:t>
            </w: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3,563</w:t>
            </w:r>
          </w:p>
        </w:tc>
      </w:tr>
      <w:tr>
        <w:trPr>
          <w:trHeight w:val="164"/>
        </w:trPr>
        <w:tc>
          <w:tcPr>
            <w:tcW w:w="2670" w:type="dxa"/>
            <w:vAlign w:val="bottom"/>
          </w:tcPr>
          <w:p>
            <w:pPr>
              <w:spacing w:after="0"/>
              <w:rPr>
                <w:sz w:val="14"/>
                <w:szCs w:val="14"/>
                <w:color w:val="auto"/>
              </w:rPr>
            </w:pPr>
          </w:p>
        </w:tc>
        <w:tc>
          <w:tcPr>
            <w:tcW w:w="2330" w:type="dxa"/>
            <w:vAlign w:val="bottom"/>
          </w:tcPr>
          <w:p>
            <w:pPr>
              <w:spacing w:after="0"/>
              <w:rPr>
                <w:sz w:val="14"/>
                <w:szCs w:val="14"/>
                <w:color w:val="auto"/>
              </w:rPr>
            </w:pPr>
          </w:p>
        </w:tc>
        <w:tc>
          <w:tcPr>
            <w:tcW w:w="3300" w:type="dxa"/>
            <w:vAlign w:val="bottom"/>
            <w:gridSpan w:val="2"/>
          </w:tcPr>
          <w:p>
            <w:pPr>
              <w:ind w:left="100"/>
              <w:spacing w:after="0"/>
              <w:rPr>
                <w:sz w:val="20"/>
                <w:szCs w:val="20"/>
                <w:color w:val="auto"/>
              </w:rPr>
            </w:pPr>
            <w:r>
              <w:rPr>
                <w:rFonts w:ascii="Arial" w:cs="Arial" w:eastAsia="Arial" w:hAnsi="Arial"/>
                <w:sz w:val="14"/>
                <w:szCs w:val="14"/>
                <w:color w:val="auto"/>
              </w:rPr>
              <w:t>10.00%), 6.00% ETP, Due 9/1/21)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7"/>
        </w:trPr>
        <w:tc>
          <w:tcPr>
            <w:tcW w:w="267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MacuLogix, Inc. (2)(12)</w:t>
            </w:r>
          </w:p>
        </w:tc>
        <w:tc>
          <w:tcPr>
            <w:tcW w:w="2330" w:type="dxa"/>
            <w:vAlign w:val="bottom"/>
            <w:shd w:val="clear" w:color="auto" w:fill="CCEEFF"/>
          </w:tcPr>
          <w:p>
            <w:pPr>
              <w:ind w:left="50"/>
              <w:spacing w:after="0" w:line="127" w:lineRule="exact"/>
              <w:rPr>
                <w:sz w:val="20"/>
                <w:szCs w:val="20"/>
                <w:color w:val="auto"/>
              </w:rPr>
            </w:pPr>
            <w:r>
              <w:rPr>
                <w:rFonts w:ascii="Arial" w:cs="Arial" w:eastAsia="Arial" w:hAnsi="Arial"/>
                <w:sz w:val="14"/>
                <w:szCs w:val="14"/>
                <w:color w:val="auto"/>
              </w:rPr>
              <w:t>Medical Device</w:t>
            </w:r>
          </w:p>
        </w:tc>
        <w:tc>
          <w:tcPr>
            <w:tcW w:w="3300" w:type="dxa"/>
            <w:vAlign w:val="bottom"/>
            <w:gridSpan w:val="2"/>
            <w:shd w:val="clear" w:color="auto" w:fill="CCEEFF"/>
          </w:tcPr>
          <w:p>
            <w:pPr>
              <w:ind w:left="100"/>
              <w:spacing w:after="0" w:line="127" w:lineRule="exact"/>
              <w:rPr>
                <w:sz w:val="20"/>
                <w:szCs w:val="20"/>
                <w:color w:val="auto"/>
              </w:rPr>
            </w:pPr>
            <w:r>
              <w:rPr>
                <w:rFonts w:ascii="Arial" w:cs="Arial" w:eastAsia="Arial" w:hAnsi="Arial"/>
                <w:sz w:val="14"/>
                <w:szCs w:val="14"/>
                <w:color w:val="auto"/>
              </w:rPr>
              <w:t>Term Loan (10.02% cash (Libor + 7.68%; Floor</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3,750</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3,623</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3,623</w:t>
            </w:r>
          </w:p>
        </w:tc>
      </w:tr>
      <w:tr>
        <w:trPr>
          <w:trHeight w:val="146"/>
        </w:trPr>
        <w:tc>
          <w:tcPr>
            <w:tcW w:w="2670" w:type="dxa"/>
            <w:vAlign w:val="bottom"/>
            <w:shd w:val="clear" w:color="auto" w:fill="CCEEFF"/>
          </w:tcPr>
          <w:p>
            <w:pPr>
              <w:spacing w:after="0"/>
              <w:rPr>
                <w:sz w:val="12"/>
                <w:szCs w:val="12"/>
                <w:color w:val="auto"/>
              </w:rPr>
            </w:pPr>
          </w:p>
        </w:tc>
        <w:tc>
          <w:tcPr>
            <w:tcW w:w="233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9.50%), 4.00% ETP, Due 8/1/22)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70" w:type="dxa"/>
            <w:vAlign w:val="bottom"/>
            <w:shd w:val="clear" w:color="auto" w:fill="CCEEFF"/>
          </w:tcPr>
          <w:p>
            <w:pPr>
              <w:spacing w:after="0"/>
              <w:rPr>
                <w:sz w:val="12"/>
                <w:szCs w:val="12"/>
                <w:color w:val="auto"/>
              </w:rPr>
            </w:pPr>
          </w:p>
        </w:tc>
        <w:tc>
          <w:tcPr>
            <w:tcW w:w="233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(10.14% cash (Libor + 7.68%;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3,750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3,638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3,638</w:t>
            </w:r>
          </w:p>
        </w:tc>
      </w:tr>
      <w:tr>
        <w:trPr>
          <w:trHeight w:val="164"/>
        </w:trPr>
        <w:tc>
          <w:tcPr>
            <w:tcW w:w="2670" w:type="dxa"/>
            <w:vAlign w:val="bottom"/>
            <w:shd w:val="clear" w:color="auto" w:fill="CCEEFF"/>
          </w:tcPr>
          <w:p>
            <w:pPr>
              <w:spacing w:after="0"/>
              <w:rPr>
                <w:sz w:val="14"/>
                <w:szCs w:val="14"/>
                <w:color w:val="auto"/>
              </w:rPr>
            </w:pPr>
          </w:p>
        </w:tc>
        <w:tc>
          <w:tcPr>
            <w:tcW w:w="233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9.50%), 4.00% ETP, Due 8/1/22)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27"/>
        </w:trPr>
        <w:tc>
          <w:tcPr>
            <w:tcW w:w="2670" w:type="dxa"/>
            <w:vAlign w:val="bottom"/>
          </w:tcPr>
          <w:p>
            <w:pPr>
              <w:spacing w:after="0" w:line="127" w:lineRule="exact"/>
              <w:rPr>
                <w:sz w:val="20"/>
                <w:szCs w:val="20"/>
                <w:color w:val="auto"/>
              </w:rPr>
            </w:pPr>
            <w:r>
              <w:rPr>
                <w:rFonts w:ascii="Arial" w:cs="Arial" w:eastAsia="Arial" w:hAnsi="Arial"/>
                <w:sz w:val="14"/>
                <w:szCs w:val="14"/>
                <w:color w:val="auto"/>
              </w:rPr>
              <w:t>VERO Biotech LLC (2)(12)</w:t>
            </w:r>
          </w:p>
        </w:tc>
        <w:tc>
          <w:tcPr>
            <w:tcW w:w="2330" w:type="dxa"/>
            <w:vAlign w:val="bottom"/>
          </w:tcPr>
          <w:p>
            <w:pPr>
              <w:ind w:left="50"/>
              <w:spacing w:after="0" w:line="127" w:lineRule="exact"/>
              <w:rPr>
                <w:sz w:val="20"/>
                <w:szCs w:val="20"/>
                <w:color w:val="auto"/>
              </w:rPr>
            </w:pPr>
            <w:r>
              <w:rPr>
                <w:rFonts w:ascii="Arial" w:cs="Arial" w:eastAsia="Arial" w:hAnsi="Arial"/>
                <w:sz w:val="14"/>
                <w:szCs w:val="14"/>
                <w:color w:val="auto"/>
              </w:rPr>
              <w:t>Medical Device</w:t>
            </w:r>
          </w:p>
        </w:tc>
        <w:tc>
          <w:tcPr>
            <w:tcW w:w="3300" w:type="dxa"/>
            <w:vAlign w:val="bottom"/>
            <w:gridSpan w:val="2"/>
          </w:tcPr>
          <w:p>
            <w:pPr>
              <w:ind w:left="100"/>
              <w:spacing w:after="0" w:line="127" w:lineRule="exact"/>
              <w:rPr>
                <w:sz w:val="20"/>
                <w:szCs w:val="20"/>
                <w:color w:val="auto"/>
              </w:rPr>
            </w:pPr>
            <w:r>
              <w:rPr>
                <w:rFonts w:ascii="Arial" w:cs="Arial" w:eastAsia="Arial" w:hAnsi="Arial"/>
                <w:sz w:val="14"/>
                <w:szCs w:val="14"/>
                <w:color w:val="auto"/>
              </w:rPr>
              <w:t>Term Loan (10.35% cash (Libor + 8.00%; Floor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4,000</w:t>
            </w:r>
          </w:p>
        </w:tc>
        <w:tc>
          <w:tcPr>
            <w:tcW w:w="160" w:type="dxa"/>
            <w:vAlign w:val="bottom"/>
          </w:tcPr>
          <w:p>
            <w:pPr>
              <w:spacing w:after="0"/>
              <w:rPr>
                <w:sz w:val="11"/>
                <w:szCs w:val="11"/>
                <w:color w:val="auto"/>
              </w:rPr>
            </w:pPr>
          </w:p>
        </w:tc>
        <w:tc>
          <w:tcPr>
            <w:tcW w:w="98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3,950</w:t>
            </w: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3,950</w:t>
            </w:r>
          </w:p>
        </w:tc>
      </w:tr>
      <w:tr>
        <w:trPr>
          <w:trHeight w:val="146"/>
        </w:trPr>
        <w:tc>
          <w:tcPr>
            <w:tcW w:w="2670" w:type="dxa"/>
            <w:vAlign w:val="bottom"/>
          </w:tcPr>
          <w:p>
            <w:pPr>
              <w:spacing w:after="0"/>
              <w:rPr>
                <w:sz w:val="12"/>
                <w:szCs w:val="12"/>
                <w:color w:val="auto"/>
              </w:rPr>
            </w:pPr>
          </w:p>
        </w:tc>
        <w:tc>
          <w:tcPr>
            <w:tcW w:w="233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9.25%), 5.00% ETP, Due 1/1/22)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670" w:type="dxa"/>
            <w:vAlign w:val="bottom"/>
          </w:tcPr>
          <w:p>
            <w:pPr>
              <w:spacing w:after="0"/>
              <w:rPr>
                <w:sz w:val="12"/>
                <w:szCs w:val="12"/>
                <w:color w:val="auto"/>
              </w:rPr>
            </w:pPr>
          </w:p>
        </w:tc>
        <w:tc>
          <w:tcPr>
            <w:tcW w:w="233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Term Loan (10.35% cash (Libor + 8.00%; Floor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4,000</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3,950</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3,950</w:t>
            </w:r>
          </w:p>
        </w:tc>
      </w:tr>
      <w:tr>
        <w:trPr>
          <w:trHeight w:val="178"/>
        </w:trPr>
        <w:tc>
          <w:tcPr>
            <w:tcW w:w="2670" w:type="dxa"/>
            <w:vAlign w:val="bottom"/>
            <w:tcBorders>
              <w:bottom w:val="single" w:sz="8" w:color="CCEEFF"/>
            </w:tcBorders>
          </w:tcPr>
          <w:p>
            <w:pPr>
              <w:spacing w:after="0"/>
              <w:rPr>
                <w:sz w:val="15"/>
                <w:szCs w:val="15"/>
                <w:color w:val="auto"/>
              </w:rPr>
            </w:pPr>
          </w:p>
        </w:tc>
        <w:tc>
          <w:tcPr>
            <w:tcW w:w="2330" w:type="dxa"/>
            <w:vAlign w:val="bottom"/>
            <w:tcBorders>
              <w:bottom w:val="single" w:sz="8" w:color="CCEEFF"/>
            </w:tcBorders>
          </w:tcPr>
          <w:p>
            <w:pPr>
              <w:spacing w:after="0"/>
              <w:rPr>
                <w:sz w:val="15"/>
                <w:szCs w:val="15"/>
                <w:color w:val="auto"/>
              </w:rPr>
            </w:pPr>
          </w:p>
        </w:tc>
        <w:tc>
          <w:tcPr>
            <w:tcW w:w="330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9.25%), 5.00% ETP, Due 1/1/22)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39"/>
        </w:trPr>
        <w:tc>
          <w:tcPr>
            <w:tcW w:w="50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Total Non-Affiliate Debt Investments — Life Science</w:t>
            </w: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67,026</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67,026</w:t>
            </w:r>
          </w:p>
        </w:tc>
        <w:tc>
          <w:tcPr>
            <w:tcW w:w="100" w:type="dxa"/>
            <w:vAlign w:val="bottom"/>
            <w:shd w:val="clear" w:color="auto" w:fill="CCEEFF"/>
          </w:tcPr>
          <w:p>
            <w:pPr>
              <w:spacing w:after="0"/>
              <w:rPr>
                <w:sz w:val="12"/>
                <w:szCs w:val="12"/>
                <w:color w:val="auto"/>
              </w:rPr>
            </w:pPr>
          </w:p>
        </w:tc>
      </w:tr>
      <w:tr>
        <w:trPr>
          <w:trHeight w:val="139"/>
        </w:trPr>
        <w:tc>
          <w:tcPr>
            <w:tcW w:w="50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Non-Affiliate Debt Investments — Technology — 88.9% (8)</w:t>
            </w: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267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Audacy Corporation (2)(12)</w:t>
            </w:r>
          </w:p>
        </w:tc>
        <w:tc>
          <w:tcPr>
            <w:tcW w:w="2330" w:type="dxa"/>
            <w:vAlign w:val="bottom"/>
            <w:shd w:val="clear" w:color="auto" w:fill="CCEEFF"/>
          </w:tcPr>
          <w:p>
            <w:pPr>
              <w:ind w:left="50"/>
              <w:spacing w:after="0" w:line="127" w:lineRule="exact"/>
              <w:rPr>
                <w:sz w:val="20"/>
                <w:szCs w:val="20"/>
                <w:color w:val="auto"/>
              </w:rPr>
            </w:pPr>
            <w:r>
              <w:rPr>
                <w:rFonts w:ascii="Arial" w:cs="Arial" w:eastAsia="Arial" w:hAnsi="Arial"/>
                <w:sz w:val="14"/>
                <w:szCs w:val="14"/>
                <w:color w:val="auto"/>
              </w:rPr>
              <w:t>Communications</w:t>
            </w:r>
          </w:p>
        </w:tc>
        <w:tc>
          <w:tcPr>
            <w:tcW w:w="3300" w:type="dxa"/>
            <w:vAlign w:val="bottom"/>
            <w:gridSpan w:val="2"/>
            <w:shd w:val="clear" w:color="auto" w:fill="CCEEFF"/>
          </w:tcPr>
          <w:p>
            <w:pPr>
              <w:ind w:left="100"/>
              <w:spacing w:after="0" w:line="127" w:lineRule="exact"/>
              <w:rPr>
                <w:sz w:val="20"/>
                <w:szCs w:val="20"/>
                <w:color w:val="auto"/>
              </w:rPr>
            </w:pPr>
            <w:r>
              <w:rPr>
                <w:rFonts w:ascii="Arial" w:cs="Arial" w:eastAsia="Arial" w:hAnsi="Arial"/>
                <w:sz w:val="14"/>
                <w:szCs w:val="14"/>
                <w:color w:val="auto"/>
              </w:rPr>
              <w:t>Term Loan (10.25% cash (Libor + 7.90%; Floor</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4,000</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3,936</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3,636</w:t>
            </w:r>
          </w:p>
        </w:tc>
      </w:tr>
      <w:tr>
        <w:trPr>
          <w:trHeight w:val="164"/>
        </w:trPr>
        <w:tc>
          <w:tcPr>
            <w:tcW w:w="2670" w:type="dxa"/>
            <w:vAlign w:val="bottom"/>
            <w:shd w:val="clear" w:color="auto" w:fill="CCEEFF"/>
          </w:tcPr>
          <w:p>
            <w:pPr>
              <w:spacing w:after="0"/>
              <w:rPr>
                <w:sz w:val="14"/>
                <w:szCs w:val="14"/>
                <w:color w:val="auto"/>
              </w:rPr>
            </w:pPr>
          </w:p>
        </w:tc>
        <w:tc>
          <w:tcPr>
            <w:tcW w:w="233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9.50%), 5.00% ETP, Due 7/1/22)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27"/>
        </w:trPr>
        <w:tc>
          <w:tcPr>
            <w:tcW w:w="2670" w:type="dxa"/>
            <w:vAlign w:val="bottom"/>
          </w:tcPr>
          <w:p>
            <w:pPr>
              <w:spacing w:after="0" w:line="127" w:lineRule="exact"/>
              <w:rPr>
                <w:sz w:val="20"/>
                <w:szCs w:val="20"/>
                <w:color w:val="auto"/>
              </w:rPr>
            </w:pPr>
            <w:r>
              <w:rPr>
                <w:rFonts w:ascii="Arial" w:cs="Arial" w:eastAsia="Arial" w:hAnsi="Arial"/>
                <w:sz w:val="14"/>
                <w:szCs w:val="14"/>
                <w:color w:val="auto"/>
              </w:rPr>
              <w:t>Intelepeer Holdings, Inc. (2)(12)</w:t>
            </w:r>
          </w:p>
        </w:tc>
        <w:tc>
          <w:tcPr>
            <w:tcW w:w="2330" w:type="dxa"/>
            <w:vAlign w:val="bottom"/>
          </w:tcPr>
          <w:p>
            <w:pPr>
              <w:ind w:left="50"/>
              <w:spacing w:after="0" w:line="127" w:lineRule="exact"/>
              <w:rPr>
                <w:sz w:val="20"/>
                <w:szCs w:val="20"/>
                <w:color w:val="auto"/>
              </w:rPr>
            </w:pPr>
            <w:r>
              <w:rPr>
                <w:rFonts w:ascii="Arial" w:cs="Arial" w:eastAsia="Arial" w:hAnsi="Arial"/>
                <w:sz w:val="14"/>
                <w:szCs w:val="14"/>
                <w:color w:val="auto"/>
              </w:rPr>
              <w:t>Communications</w:t>
            </w:r>
          </w:p>
        </w:tc>
        <w:tc>
          <w:tcPr>
            <w:tcW w:w="3300" w:type="dxa"/>
            <w:vAlign w:val="bottom"/>
            <w:gridSpan w:val="2"/>
          </w:tcPr>
          <w:p>
            <w:pPr>
              <w:ind w:left="100"/>
              <w:spacing w:after="0" w:line="127" w:lineRule="exact"/>
              <w:rPr>
                <w:sz w:val="20"/>
                <w:szCs w:val="20"/>
                <w:color w:val="auto"/>
              </w:rPr>
            </w:pPr>
            <w:r>
              <w:rPr>
                <w:rFonts w:ascii="Arial" w:cs="Arial" w:eastAsia="Arial" w:hAnsi="Arial"/>
                <w:sz w:val="14"/>
                <w:szCs w:val="14"/>
                <w:color w:val="auto"/>
              </w:rPr>
              <w:t>Term Loan (12.30% cash (Libor + 9.95%; Floor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4,000</w:t>
            </w:r>
          </w:p>
        </w:tc>
        <w:tc>
          <w:tcPr>
            <w:tcW w:w="160" w:type="dxa"/>
            <w:vAlign w:val="bottom"/>
          </w:tcPr>
          <w:p>
            <w:pPr>
              <w:spacing w:after="0"/>
              <w:rPr>
                <w:sz w:val="11"/>
                <w:szCs w:val="11"/>
                <w:color w:val="auto"/>
              </w:rPr>
            </w:pPr>
          </w:p>
        </w:tc>
        <w:tc>
          <w:tcPr>
            <w:tcW w:w="98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3,948</w:t>
            </w: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3,948</w:t>
            </w:r>
          </w:p>
        </w:tc>
      </w:tr>
      <w:tr>
        <w:trPr>
          <w:trHeight w:val="164"/>
        </w:trPr>
        <w:tc>
          <w:tcPr>
            <w:tcW w:w="2670" w:type="dxa"/>
            <w:vAlign w:val="bottom"/>
          </w:tcPr>
          <w:p>
            <w:pPr>
              <w:spacing w:after="0"/>
              <w:rPr>
                <w:sz w:val="14"/>
                <w:szCs w:val="14"/>
                <w:color w:val="auto"/>
              </w:rPr>
            </w:pPr>
          </w:p>
        </w:tc>
        <w:tc>
          <w:tcPr>
            <w:tcW w:w="2330" w:type="dxa"/>
            <w:vAlign w:val="bottom"/>
          </w:tcPr>
          <w:p>
            <w:pPr>
              <w:spacing w:after="0"/>
              <w:rPr>
                <w:sz w:val="14"/>
                <w:szCs w:val="14"/>
                <w:color w:val="auto"/>
              </w:rPr>
            </w:pPr>
          </w:p>
        </w:tc>
        <w:tc>
          <w:tcPr>
            <w:tcW w:w="3300" w:type="dxa"/>
            <w:vAlign w:val="bottom"/>
            <w:gridSpan w:val="2"/>
          </w:tcPr>
          <w:p>
            <w:pPr>
              <w:ind w:left="100"/>
              <w:spacing w:after="0"/>
              <w:rPr>
                <w:sz w:val="20"/>
                <w:szCs w:val="20"/>
                <w:color w:val="auto"/>
              </w:rPr>
            </w:pPr>
            <w:r>
              <w:rPr>
                <w:rFonts w:ascii="Arial" w:cs="Arial" w:eastAsia="Arial" w:hAnsi="Arial"/>
                <w:sz w:val="14"/>
                <w:szCs w:val="14"/>
                <w:color w:val="auto"/>
              </w:rPr>
              <w:t>11.25%), 2.50% ETP, Due 7/1/21)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2670" w:type="dxa"/>
            <w:vAlign w:val="bottom"/>
            <w:shd w:val="clear" w:color="auto" w:fill="CCEEFF"/>
          </w:tcPr>
          <w:p>
            <w:pPr>
              <w:spacing w:after="0"/>
              <w:rPr>
                <w:sz w:val="12"/>
                <w:szCs w:val="12"/>
                <w:color w:val="auto"/>
              </w:rPr>
            </w:pPr>
          </w:p>
        </w:tc>
        <w:tc>
          <w:tcPr>
            <w:tcW w:w="233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(12.30% cash (Libor + 9.95%;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2,955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2,955</w:t>
            </w:r>
          </w:p>
        </w:tc>
      </w:tr>
      <w:tr>
        <w:trPr>
          <w:trHeight w:val="146"/>
        </w:trPr>
        <w:tc>
          <w:tcPr>
            <w:tcW w:w="2670" w:type="dxa"/>
            <w:vAlign w:val="bottom"/>
          </w:tcPr>
          <w:p>
            <w:pPr>
              <w:spacing w:after="0"/>
              <w:rPr>
                <w:sz w:val="12"/>
                <w:szCs w:val="12"/>
                <w:color w:val="auto"/>
              </w:rPr>
            </w:pPr>
          </w:p>
        </w:tc>
        <w:tc>
          <w:tcPr>
            <w:tcW w:w="233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11.25%), 2.50% ETP, Due 2/1/21)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267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Food52, Inc. (2)(12)</w:t>
            </w:r>
          </w:p>
        </w:tc>
        <w:tc>
          <w:tcPr>
            <w:tcW w:w="2330" w:type="dxa"/>
            <w:vAlign w:val="bottom"/>
            <w:shd w:val="clear" w:color="auto" w:fill="CCEEFF"/>
          </w:tcPr>
          <w:p>
            <w:pPr>
              <w:ind w:left="50"/>
              <w:spacing w:after="0" w:line="127" w:lineRule="exact"/>
              <w:rPr>
                <w:sz w:val="20"/>
                <w:szCs w:val="20"/>
                <w:color w:val="auto"/>
              </w:rPr>
            </w:pPr>
            <w:r>
              <w:rPr>
                <w:rFonts w:ascii="Arial" w:cs="Arial" w:eastAsia="Arial" w:hAnsi="Arial"/>
                <w:sz w:val="14"/>
                <w:szCs w:val="14"/>
                <w:color w:val="auto"/>
              </w:rPr>
              <w:t>Consumer-related Technologies</w:t>
            </w:r>
          </w:p>
        </w:tc>
        <w:tc>
          <w:tcPr>
            <w:tcW w:w="3300" w:type="dxa"/>
            <w:vAlign w:val="bottom"/>
            <w:gridSpan w:val="2"/>
            <w:shd w:val="clear" w:color="auto" w:fill="CCEEFF"/>
          </w:tcPr>
          <w:p>
            <w:pPr>
              <w:ind w:left="100"/>
              <w:spacing w:after="0" w:line="127" w:lineRule="exact"/>
              <w:rPr>
                <w:sz w:val="20"/>
                <w:szCs w:val="20"/>
                <w:color w:val="auto"/>
              </w:rPr>
            </w:pPr>
            <w:r>
              <w:rPr>
                <w:rFonts w:ascii="Arial" w:cs="Arial" w:eastAsia="Arial" w:hAnsi="Arial"/>
                <w:sz w:val="14"/>
                <w:szCs w:val="14"/>
                <w:color w:val="auto"/>
              </w:rPr>
              <w:t>Term Loan (10.90% cash (Libor + 8.40%; Floor</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2,918</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2,918</w:t>
            </w:r>
          </w:p>
        </w:tc>
      </w:tr>
      <w:tr>
        <w:trPr>
          <w:trHeight w:val="146"/>
        </w:trPr>
        <w:tc>
          <w:tcPr>
            <w:tcW w:w="2670" w:type="dxa"/>
            <w:vAlign w:val="bottom"/>
            <w:shd w:val="clear" w:color="auto" w:fill="CCEEFF"/>
          </w:tcPr>
          <w:p>
            <w:pPr>
              <w:spacing w:after="0"/>
              <w:rPr>
                <w:sz w:val="12"/>
                <w:szCs w:val="12"/>
                <w:color w:val="auto"/>
              </w:rPr>
            </w:pPr>
          </w:p>
        </w:tc>
        <w:tc>
          <w:tcPr>
            <w:tcW w:w="233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10.90%), 3.00% ETP, Due 1/1/23)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70" w:type="dxa"/>
            <w:vAlign w:val="bottom"/>
            <w:shd w:val="clear" w:color="auto" w:fill="CCEEFF"/>
          </w:tcPr>
          <w:p>
            <w:pPr>
              <w:spacing w:after="0"/>
              <w:rPr>
                <w:sz w:val="12"/>
                <w:szCs w:val="12"/>
                <w:color w:val="auto"/>
              </w:rPr>
            </w:pPr>
          </w:p>
        </w:tc>
        <w:tc>
          <w:tcPr>
            <w:tcW w:w="233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(10.90% cash (Libor + 8.40%;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2,918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2,918</w:t>
            </w:r>
          </w:p>
        </w:tc>
      </w:tr>
      <w:tr>
        <w:trPr>
          <w:trHeight w:val="146"/>
        </w:trPr>
        <w:tc>
          <w:tcPr>
            <w:tcW w:w="2670" w:type="dxa"/>
            <w:vAlign w:val="bottom"/>
            <w:shd w:val="clear" w:color="auto" w:fill="CCEEFF"/>
          </w:tcPr>
          <w:p>
            <w:pPr>
              <w:spacing w:after="0"/>
              <w:rPr>
                <w:sz w:val="12"/>
                <w:szCs w:val="12"/>
                <w:color w:val="auto"/>
              </w:rPr>
            </w:pPr>
          </w:p>
        </w:tc>
        <w:tc>
          <w:tcPr>
            <w:tcW w:w="233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10.90%), 3.00% ETP, Due 1/1/23)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4"/>
        </w:trPr>
        <w:tc>
          <w:tcPr>
            <w:tcW w:w="2670" w:type="dxa"/>
            <w:vAlign w:val="bottom"/>
            <w:shd w:val="clear" w:color="auto" w:fill="CCEEFF"/>
          </w:tcPr>
          <w:p>
            <w:pPr>
              <w:spacing w:after="0"/>
              <w:rPr>
                <w:sz w:val="20"/>
                <w:szCs w:val="20"/>
                <w:color w:val="auto"/>
              </w:rPr>
            </w:pPr>
            <w:r>
              <w:rPr>
                <w:rFonts w:ascii="Arial" w:cs="Arial" w:eastAsia="Arial" w:hAnsi="Arial"/>
                <w:sz w:val="14"/>
                <w:szCs w:val="14"/>
                <w:color w:val="auto"/>
              </w:rPr>
              <w:t>Mohawk Group Holdings, Inc. (2)(12)</w:t>
            </w:r>
          </w:p>
        </w:tc>
        <w:tc>
          <w:tcPr>
            <w:tcW w:w="2330" w:type="dxa"/>
            <w:vAlign w:val="bottom"/>
            <w:shd w:val="clear" w:color="auto" w:fill="CCEEFF"/>
          </w:tcPr>
          <w:p>
            <w:pPr>
              <w:ind w:left="50"/>
              <w:spacing w:after="0"/>
              <w:rPr>
                <w:sz w:val="20"/>
                <w:szCs w:val="20"/>
                <w:color w:val="auto"/>
              </w:rPr>
            </w:pPr>
            <w:r>
              <w:rPr>
                <w:rFonts w:ascii="Arial" w:cs="Arial" w:eastAsia="Arial" w:hAnsi="Arial"/>
                <w:sz w:val="14"/>
                <w:szCs w:val="14"/>
                <w:color w:val="auto"/>
              </w:rPr>
              <w:t>Consumer-related Technologies</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Term Loan (9.90% cash (Libor + 7.40%; Floor</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4,885</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4,885</w:t>
            </w:r>
          </w:p>
        </w:tc>
      </w:tr>
      <w:tr>
        <w:trPr>
          <w:trHeight w:val="146"/>
        </w:trPr>
        <w:tc>
          <w:tcPr>
            <w:tcW w:w="2670" w:type="dxa"/>
            <w:vAlign w:val="bottom"/>
          </w:tcPr>
          <w:p>
            <w:pPr>
              <w:spacing w:after="0"/>
              <w:rPr>
                <w:sz w:val="12"/>
                <w:szCs w:val="12"/>
                <w:color w:val="auto"/>
              </w:rPr>
            </w:pPr>
          </w:p>
        </w:tc>
        <w:tc>
          <w:tcPr>
            <w:tcW w:w="233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9.90%), 4.00% ETP, Due 1/1/23)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670" w:type="dxa"/>
            <w:vAlign w:val="bottom"/>
            <w:shd w:val="clear" w:color="auto" w:fill="CCEEFF"/>
          </w:tcPr>
          <w:p>
            <w:pPr>
              <w:spacing w:after="0"/>
              <w:rPr>
                <w:sz w:val="12"/>
                <w:szCs w:val="12"/>
                <w:color w:val="auto"/>
              </w:rPr>
            </w:pPr>
          </w:p>
        </w:tc>
        <w:tc>
          <w:tcPr>
            <w:tcW w:w="233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(9.90% cash (Libor + 7.40%;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4,885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4,885</w:t>
            </w:r>
          </w:p>
        </w:tc>
      </w:tr>
      <w:tr>
        <w:trPr>
          <w:trHeight w:val="146"/>
        </w:trPr>
        <w:tc>
          <w:tcPr>
            <w:tcW w:w="2670" w:type="dxa"/>
            <w:vAlign w:val="bottom"/>
          </w:tcPr>
          <w:p>
            <w:pPr>
              <w:spacing w:after="0"/>
              <w:rPr>
                <w:sz w:val="12"/>
                <w:szCs w:val="12"/>
                <w:color w:val="auto"/>
              </w:rPr>
            </w:pPr>
          </w:p>
        </w:tc>
        <w:tc>
          <w:tcPr>
            <w:tcW w:w="233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9.90%), 4.00% ETP, Due 1/1/23)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670" w:type="dxa"/>
            <w:vAlign w:val="bottom"/>
            <w:shd w:val="clear" w:color="auto" w:fill="CCEEFF"/>
          </w:tcPr>
          <w:p>
            <w:pPr>
              <w:spacing w:after="0"/>
              <w:rPr>
                <w:sz w:val="12"/>
                <w:szCs w:val="12"/>
                <w:color w:val="auto"/>
              </w:rPr>
            </w:pPr>
          </w:p>
        </w:tc>
        <w:tc>
          <w:tcPr>
            <w:tcW w:w="233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(9.90% cash (Libor + 7.40%;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4,885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4,885</w:t>
            </w:r>
          </w:p>
        </w:tc>
      </w:tr>
      <w:tr>
        <w:trPr>
          <w:trHeight w:val="180"/>
        </w:trPr>
        <w:tc>
          <w:tcPr>
            <w:tcW w:w="2670" w:type="dxa"/>
            <w:vAlign w:val="bottom"/>
          </w:tcPr>
          <w:p>
            <w:pPr>
              <w:spacing w:after="0"/>
              <w:rPr>
                <w:sz w:val="15"/>
                <w:szCs w:val="15"/>
                <w:color w:val="auto"/>
              </w:rPr>
            </w:pPr>
          </w:p>
        </w:tc>
        <w:tc>
          <w:tcPr>
            <w:tcW w:w="2330" w:type="dxa"/>
            <w:vAlign w:val="bottom"/>
          </w:tcPr>
          <w:p>
            <w:pPr>
              <w:spacing w:after="0"/>
              <w:rPr>
                <w:sz w:val="15"/>
                <w:szCs w:val="15"/>
                <w:color w:val="auto"/>
              </w:rPr>
            </w:pPr>
          </w:p>
        </w:tc>
        <w:tc>
          <w:tcPr>
            <w:tcW w:w="3300" w:type="dxa"/>
            <w:vAlign w:val="bottom"/>
            <w:gridSpan w:val="2"/>
          </w:tcPr>
          <w:p>
            <w:pPr>
              <w:ind w:left="100"/>
              <w:spacing w:after="0"/>
              <w:rPr>
                <w:sz w:val="20"/>
                <w:szCs w:val="20"/>
                <w:color w:val="auto"/>
              </w:rPr>
            </w:pPr>
            <w:r>
              <w:rPr>
                <w:rFonts w:ascii="Arial" w:cs="Arial" w:eastAsia="Arial" w:hAnsi="Arial"/>
                <w:sz w:val="14"/>
                <w:szCs w:val="14"/>
                <w:color w:val="auto"/>
              </w:rPr>
              <w:t>9.90%), 4.00% ETP, Due 1/1/23)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-1317625</wp:posOffset>
            </wp:positionV>
            <wp:extent cx="7249160" cy="3702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91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-576580</wp:posOffset>
            </wp:positionV>
            <wp:extent cx="7249160" cy="5556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9160" cy="55562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 of</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168"/>
        </w:trPr>
        <w:tc>
          <w:tcPr>
            <w:tcW w:w="262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100" w:type="dxa"/>
            <w:vAlign w:val="bottom"/>
          </w:tcPr>
          <w:p>
            <w:pPr>
              <w:spacing w:after="0"/>
              <w:rPr>
                <w:sz w:val="14"/>
                <w:szCs w:val="14"/>
                <w:color w:val="auto"/>
              </w:rPr>
            </w:pPr>
          </w:p>
        </w:tc>
        <w:tc>
          <w:tcPr>
            <w:tcW w:w="2380" w:type="dxa"/>
            <w:vAlign w:val="bottom"/>
            <w:gridSpan w:val="2"/>
          </w:tcPr>
          <w:p>
            <w:pPr>
              <w:ind w:left="940"/>
              <w:spacing w:after="0"/>
              <w:rPr>
                <w:sz w:val="20"/>
                <w:szCs w:val="20"/>
                <w:color w:val="auto"/>
              </w:rPr>
            </w:pPr>
            <w:r>
              <w:rPr>
                <w:rFonts w:ascii="Arial" w:cs="Arial" w:eastAsia="Arial" w:hAnsi="Arial"/>
                <w:sz w:val="14"/>
                <w:szCs w:val="14"/>
                <w:b w:val="1"/>
                <w:bCs w:val="1"/>
                <w:color w:val="auto"/>
              </w:rPr>
              <w:t>Sector</w:t>
            </w:r>
          </w:p>
        </w:tc>
        <w:tc>
          <w:tcPr>
            <w:tcW w:w="3200" w:type="dxa"/>
            <w:vAlign w:val="bottom"/>
          </w:tcPr>
          <w:p>
            <w:pPr>
              <w:ind w:left="640"/>
              <w:spacing w:after="0"/>
              <w:rPr>
                <w:sz w:val="20"/>
                <w:szCs w:val="20"/>
                <w:color w:val="auto"/>
              </w:rPr>
            </w:pPr>
            <w:r>
              <w:rPr>
                <w:rFonts w:ascii="Arial" w:cs="Arial" w:eastAsia="Arial" w:hAnsi="Arial"/>
                <w:sz w:val="14"/>
                <w:szCs w:val="14"/>
                <w:b w:val="1"/>
                <w:bCs w:val="1"/>
                <w:color w:val="auto"/>
              </w:rPr>
              <w:t>Type of Investment (4)(7)(9)(10)</w:t>
            </w:r>
          </w:p>
        </w:tc>
        <w:tc>
          <w:tcPr>
            <w:tcW w:w="10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Investments (6)</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121"/>
        </w:trPr>
        <w:tc>
          <w:tcPr>
            <w:tcW w:w="262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Kaminario, Inc. (2)(12)</w:t>
            </w:r>
          </w:p>
        </w:tc>
        <w:tc>
          <w:tcPr>
            <w:tcW w:w="100" w:type="dxa"/>
            <w:vAlign w:val="bottom"/>
            <w:tcBorders>
              <w:top w:val="single" w:sz="8" w:color="CCEEFF"/>
            </w:tcBorders>
            <w:shd w:val="clear" w:color="auto" w:fill="CCEEFF"/>
          </w:tcPr>
          <w:p>
            <w:pPr>
              <w:spacing w:after="0"/>
              <w:rPr>
                <w:sz w:val="10"/>
                <w:szCs w:val="10"/>
                <w:color w:val="auto"/>
              </w:rPr>
            </w:pPr>
          </w:p>
        </w:tc>
        <w:tc>
          <w:tcPr>
            <w:tcW w:w="228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Data Storage</w:t>
            </w:r>
          </w:p>
        </w:tc>
        <w:tc>
          <w:tcPr>
            <w:tcW w:w="100" w:type="dxa"/>
            <w:vAlign w:val="bottom"/>
            <w:tcBorders>
              <w:top w:val="single" w:sz="8" w:color="CCEEFF"/>
            </w:tcBorders>
            <w:shd w:val="clear" w:color="auto" w:fill="CCEEFF"/>
          </w:tcPr>
          <w:p>
            <w:pPr>
              <w:spacing w:after="0"/>
              <w:rPr>
                <w:sz w:val="10"/>
                <w:szCs w:val="10"/>
                <w:color w:val="auto"/>
              </w:rPr>
            </w:pPr>
          </w:p>
        </w:tc>
        <w:tc>
          <w:tcPr>
            <w:tcW w:w="320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Term Loan (10.87% cash (Libor + 8.40%; Floor</w:t>
            </w: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5,000</w:t>
            </w: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4,918</w:t>
            </w: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4,918</w:t>
            </w:r>
          </w:p>
        </w:tc>
        <w:tc>
          <w:tcPr>
            <w:tcW w:w="100" w:type="dxa"/>
            <w:vAlign w:val="bottom"/>
            <w:tcBorders>
              <w:top w:val="single" w:sz="8" w:color="CCEEFF"/>
            </w:tcBorders>
            <w:shd w:val="clear" w:color="auto" w:fill="CCEEFF"/>
          </w:tcPr>
          <w:p>
            <w:pPr>
              <w:spacing w:after="0"/>
              <w:rPr>
                <w:sz w:val="10"/>
                <w:szCs w:val="10"/>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10.65%), 3.00% ETP, Due 1/1/23)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(10.87% cash (Libor + 8.40%; Floor</w:t>
            </w:r>
          </w:p>
        </w:tc>
        <w:tc>
          <w:tcPr>
            <w:tcW w:w="1100" w:type="dxa"/>
            <w:vAlign w:val="bottom"/>
            <w:gridSpan w:val="3"/>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5,000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4,917</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4,917</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10.65%), 3.00% ETP, Due 1/1/23)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IgnitionOne, Inc. (2)(12)</w:t>
            </w:r>
          </w:p>
        </w:tc>
        <w:tc>
          <w:tcPr>
            <w:tcW w:w="10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Internet and Media</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Term Loan (12.58% cash (Libor + 10.23%; Floor</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2,871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2,871</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line="146" w:lineRule="exact"/>
              <w:rPr>
                <w:sz w:val="20"/>
                <w:szCs w:val="20"/>
                <w:color w:val="auto"/>
              </w:rPr>
            </w:pPr>
            <w:r>
              <w:rPr>
                <w:rFonts w:ascii="Arial" w:cs="Arial" w:eastAsia="Arial" w:hAnsi="Arial"/>
                <w:sz w:val="14"/>
                <w:szCs w:val="14"/>
                <w:color w:val="auto"/>
              </w:rPr>
              <w:t>10.23%), 2.00% ETP, Due 4/1/22)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(12.58% cash (Libor + 10.23%; Floor</w:t>
            </w:r>
          </w:p>
        </w:tc>
        <w:tc>
          <w:tcPr>
            <w:tcW w:w="1100" w:type="dxa"/>
            <w:vAlign w:val="bottom"/>
            <w:gridSpan w:val="3"/>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2,871</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2,871</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line="146" w:lineRule="exact"/>
              <w:rPr>
                <w:sz w:val="20"/>
                <w:szCs w:val="20"/>
                <w:color w:val="auto"/>
              </w:rPr>
            </w:pPr>
            <w:r>
              <w:rPr>
                <w:rFonts w:ascii="Arial" w:cs="Arial" w:eastAsia="Arial" w:hAnsi="Arial"/>
                <w:sz w:val="14"/>
                <w:szCs w:val="14"/>
                <w:color w:val="auto"/>
              </w:rPr>
              <w:t>10.23%), 2.00% ETP, Due 4/1/22)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(12.58% cash (Libor + 10.23%; Floor</w:t>
            </w:r>
          </w:p>
        </w:tc>
        <w:tc>
          <w:tcPr>
            <w:tcW w:w="1100" w:type="dxa"/>
            <w:vAlign w:val="bottom"/>
            <w:gridSpan w:val="3"/>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2,871</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2,871</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line="146" w:lineRule="exact"/>
              <w:rPr>
                <w:sz w:val="20"/>
                <w:szCs w:val="20"/>
                <w:color w:val="auto"/>
              </w:rPr>
            </w:pPr>
            <w:r>
              <w:rPr>
                <w:rFonts w:ascii="Arial" w:cs="Arial" w:eastAsia="Arial" w:hAnsi="Arial"/>
                <w:sz w:val="14"/>
                <w:szCs w:val="14"/>
                <w:color w:val="auto"/>
              </w:rPr>
              <w:t>10.23%), 2.00% ETP, Due 4/1/22)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(12.58% cash (Libor + 10.23%; Floor</w:t>
            </w:r>
          </w:p>
        </w:tc>
        <w:tc>
          <w:tcPr>
            <w:tcW w:w="1100" w:type="dxa"/>
            <w:vAlign w:val="bottom"/>
            <w:gridSpan w:val="3"/>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2,871</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2,871</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line="146" w:lineRule="exact"/>
              <w:rPr>
                <w:sz w:val="20"/>
                <w:szCs w:val="20"/>
                <w:color w:val="auto"/>
              </w:rPr>
            </w:pPr>
            <w:r>
              <w:rPr>
                <w:rFonts w:ascii="Arial" w:cs="Arial" w:eastAsia="Arial" w:hAnsi="Arial"/>
                <w:sz w:val="14"/>
                <w:szCs w:val="14"/>
                <w:color w:val="auto"/>
              </w:rPr>
              <w:t>10.23%), 2.00% ETP, Due 4/1/22)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Jump Ramp Games, Inc. (2)(12)</w:t>
            </w:r>
          </w:p>
        </w:tc>
        <w:tc>
          <w:tcPr>
            <w:tcW w:w="10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spacing w:after="0" w:line="127" w:lineRule="exact"/>
              <w:rPr>
                <w:sz w:val="20"/>
                <w:szCs w:val="20"/>
                <w:color w:val="auto"/>
              </w:rPr>
            </w:pPr>
            <w:r>
              <w:rPr>
                <w:rFonts w:ascii="Arial" w:cs="Arial" w:eastAsia="Arial" w:hAnsi="Arial"/>
                <w:sz w:val="14"/>
                <w:szCs w:val="14"/>
                <w:color w:val="auto"/>
              </w:rPr>
              <w:t>Internet and Media</w:t>
            </w:r>
          </w:p>
        </w:tc>
        <w:tc>
          <w:tcPr>
            <w:tcW w:w="320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Term Loan (12.08% cash (Libor + 9.73%),</w:t>
            </w:r>
          </w:p>
        </w:tc>
        <w:tc>
          <w:tcPr>
            <w:tcW w:w="1100" w:type="dxa"/>
            <w:vAlign w:val="bottom"/>
            <w:gridSpan w:val="3"/>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4,000</w:t>
            </w:r>
          </w:p>
        </w:tc>
        <w:tc>
          <w:tcPr>
            <w:tcW w:w="114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3,960</w:t>
            </w:r>
          </w:p>
        </w:tc>
        <w:tc>
          <w:tcPr>
            <w:tcW w:w="8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3,960</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3.00% ETP, Due 4/1/21)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Kixeye, Inc. (2)(12)</w:t>
            </w:r>
          </w:p>
        </w:tc>
        <w:tc>
          <w:tcPr>
            <w:tcW w:w="10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Internet and Media</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Term Loan (11.95% cash (Libor + 9.60%; Floor</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2,700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2,617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2,617</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line="146" w:lineRule="exact"/>
              <w:rPr>
                <w:sz w:val="20"/>
                <w:szCs w:val="20"/>
                <w:color w:val="auto"/>
              </w:rPr>
            </w:pPr>
            <w:r>
              <w:rPr>
                <w:rFonts w:ascii="Arial" w:cs="Arial" w:eastAsia="Arial" w:hAnsi="Arial"/>
                <w:sz w:val="14"/>
                <w:szCs w:val="14"/>
                <w:color w:val="auto"/>
              </w:rPr>
              <w:t>10.75%), 2.00% ETP, Due 5/1/21)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(11.95% cash (Libor + 9.60%; Floor</w:t>
            </w:r>
          </w:p>
        </w:tc>
        <w:tc>
          <w:tcPr>
            <w:tcW w:w="1100" w:type="dxa"/>
            <w:vAlign w:val="bottom"/>
            <w:gridSpan w:val="3"/>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2,700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2,661</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2,661</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line="146" w:lineRule="exact"/>
              <w:rPr>
                <w:sz w:val="20"/>
                <w:szCs w:val="20"/>
                <w:color w:val="auto"/>
              </w:rPr>
            </w:pPr>
            <w:r>
              <w:rPr>
                <w:rFonts w:ascii="Arial" w:cs="Arial" w:eastAsia="Arial" w:hAnsi="Arial"/>
                <w:sz w:val="14"/>
                <w:szCs w:val="14"/>
                <w:color w:val="auto"/>
              </w:rPr>
              <w:t>10.75%), 2.00% ETP, Due 5/1/21)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Rocket Lawyer Incorporated (2)(12)</w:t>
            </w:r>
          </w:p>
        </w:tc>
        <w:tc>
          <w:tcPr>
            <w:tcW w:w="10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spacing w:after="0" w:line="127" w:lineRule="exact"/>
              <w:rPr>
                <w:sz w:val="20"/>
                <w:szCs w:val="20"/>
                <w:color w:val="auto"/>
              </w:rPr>
            </w:pPr>
            <w:r>
              <w:rPr>
                <w:rFonts w:ascii="Arial" w:cs="Arial" w:eastAsia="Arial" w:hAnsi="Arial"/>
                <w:sz w:val="14"/>
                <w:szCs w:val="14"/>
                <w:color w:val="auto"/>
              </w:rPr>
              <w:t>Internet and Media</w:t>
            </w:r>
          </w:p>
        </w:tc>
        <w:tc>
          <w:tcPr>
            <w:tcW w:w="320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Term Loan (11.75% cash (Libor + 9.40%; Floor</w:t>
            </w:r>
          </w:p>
        </w:tc>
        <w:tc>
          <w:tcPr>
            <w:tcW w:w="1100" w:type="dxa"/>
            <w:vAlign w:val="bottom"/>
            <w:gridSpan w:val="3"/>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4,000</w:t>
            </w:r>
          </w:p>
        </w:tc>
        <w:tc>
          <w:tcPr>
            <w:tcW w:w="114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3,952</w:t>
            </w:r>
          </w:p>
        </w:tc>
        <w:tc>
          <w:tcPr>
            <w:tcW w:w="8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3,952</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10.50%), 3.00% ETP, Due 7/1/21)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(11.75% cash (Libor + 9.40%; Floor</w:t>
            </w:r>
          </w:p>
        </w:tc>
        <w:tc>
          <w:tcPr>
            <w:tcW w:w="1100" w:type="dxa"/>
            <w:vAlign w:val="bottom"/>
            <w:gridSpan w:val="3"/>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4,000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3,952</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3,952</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10.50%), 3.00% ETP, Due 7/1/21)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(11.75% cash (Libor + 9.40%; Floor</w:t>
            </w:r>
          </w:p>
        </w:tc>
        <w:tc>
          <w:tcPr>
            <w:tcW w:w="1100" w:type="dxa"/>
            <w:vAlign w:val="bottom"/>
            <w:gridSpan w:val="3"/>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1,973</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1,973</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10.50%), 3.00% ETP, Due 11/1/21)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Verve Wireless, Inc. (2)(12)</w:t>
            </w:r>
          </w:p>
        </w:tc>
        <w:tc>
          <w:tcPr>
            <w:tcW w:w="10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Internet and Media</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Term Loan (11.15% cash (Libor + 8.80%; Floor</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3,300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3,172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3,172</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line="146" w:lineRule="exact"/>
              <w:rPr>
                <w:sz w:val="20"/>
                <w:szCs w:val="20"/>
                <w:color w:val="auto"/>
              </w:rPr>
            </w:pPr>
            <w:r>
              <w:rPr>
                <w:rFonts w:ascii="Arial" w:cs="Arial" w:eastAsia="Arial" w:hAnsi="Arial"/>
                <w:sz w:val="14"/>
                <w:szCs w:val="14"/>
                <w:color w:val="auto"/>
              </w:rPr>
              <w:t>10.80%), 3.33% ETP, Due 9/1/21)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Zinio Holdings, LLC (2)(12)</w:t>
            </w:r>
          </w:p>
        </w:tc>
        <w:tc>
          <w:tcPr>
            <w:tcW w:w="10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spacing w:after="0" w:line="127" w:lineRule="exact"/>
              <w:rPr>
                <w:sz w:val="20"/>
                <w:szCs w:val="20"/>
                <w:color w:val="auto"/>
              </w:rPr>
            </w:pPr>
            <w:r>
              <w:rPr>
                <w:rFonts w:ascii="Arial" w:cs="Arial" w:eastAsia="Arial" w:hAnsi="Arial"/>
                <w:sz w:val="14"/>
                <w:szCs w:val="14"/>
                <w:color w:val="auto"/>
              </w:rPr>
              <w:t>Internet and Media</w:t>
            </w:r>
          </w:p>
        </w:tc>
        <w:tc>
          <w:tcPr>
            <w:tcW w:w="320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Term Loan (13.60% cash (Libor + 11.25%; Floor</w:t>
            </w:r>
          </w:p>
        </w:tc>
        <w:tc>
          <w:tcPr>
            <w:tcW w:w="1100" w:type="dxa"/>
            <w:vAlign w:val="bottom"/>
            <w:gridSpan w:val="3"/>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3,225</w:t>
            </w:r>
          </w:p>
        </w:tc>
        <w:tc>
          <w:tcPr>
            <w:tcW w:w="114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3,213</w:t>
            </w:r>
          </w:p>
        </w:tc>
        <w:tc>
          <w:tcPr>
            <w:tcW w:w="8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3,213</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11.75%), 6.00% ETP, Due 2/1/20)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The NanoSteel Company, Inc. (2)(12)</w:t>
            </w:r>
          </w:p>
        </w:tc>
        <w:tc>
          <w:tcPr>
            <w:tcW w:w="10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Materials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Term Loan (11.00% cash (Libor + 8.50%; Floor</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4,250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4,186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4,186</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line="146" w:lineRule="exact"/>
              <w:rPr>
                <w:sz w:val="20"/>
                <w:szCs w:val="20"/>
                <w:color w:val="auto"/>
              </w:rPr>
            </w:pPr>
            <w:r>
              <w:rPr>
                <w:rFonts w:ascii="Arial" w:cs="Arial" w:eastAsia="Arial" w:hAnsi="Arial"/>
                <w:sz w:val="14"/>
                <w:szCs w:val="14"/>
                <w:color w:val="auto"/>
              </w:rPr>
              <w:t>11.00%), 4.0% ETP, Due 6/1/22)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(11.00% cash (Libor + 8.50%; Floor</w:t>
            </w:r>
          </w:p>
        </w:tc>
        <w:tc>
          <w:tcPr>
            <w:tcW w:w="1100" w:type="dxa"/>
            <w:vAlign w:val="bottom"/>
            <w:gridSpan w:val="3"/>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4,250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4,186</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4,186</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line="146" w:lineRule="exact"/>
              <w:rPr>
                <w:sz w:val="20"/>
                <w:szCs w:val="20"/>
                <w:color w:val="auto"/>
              </w:rPr>
            </w:pPr>
            <w:r>
              <w:rPr>
                <w:rFonts w:ascii="Arial" w:cs="Arial" w:eastAsia="Arial" w:hAnsi="Arial"/>
                <w:sz w:val="14"/>
                <w:szCs w:val="14"/>
                <w:color w:val="auto"/>
              </w:rPr>
              <w:t>11.00%), 4.0% ETP, Due 6/1/22)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Powerhouse Dynamics, Inc. (2)(12)</w:t>
            </w:r>
          </w:p>
        </w:tc>
        <w:tc>
          <w:tcPr>
            <w:tcW w:w="10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spacing w:after="0" w:line="127" w:lineRule="exact"/>
              <w:rPr>
                <w:sz w:val="20"/>
                <w:szCs w:val="20"/>
                <w:color w:val="auto"/>
              </w:rPr>
            </w:pPr>
            <w:r>
              <w:rPr>
                <w:rFonts w:ascii="Arial" w:cs="Arial" w:eastAsia="Arial" w:hAnsi="Arial"/>
                <w:sz w:val="14"/>
                <w:szCs w:val="14"/>
                <w:color w:val="auto"/>
              </w:rPr>
              <w:t>Power Management</w:t>
            </w:r>
          </w:p>
        </w:tc>
        <w:tc>
          <w:tcPr>
            <w:tcW w:w="320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Term Loan (13.05% cash (Libor + 10.70%; Floor</w:t>
            </w:r>
          </w:p>
        </w:tc>
        <w:tc>
          <w:tcPr>
            <w:tcW w:w="1100" w:type="dxa"/>
            <w:vAlign w:val="bottom"/>
            <w:gridSpan w:val="3"/>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525</w:t>
            </w:r>
          </w:p>
        </w:tc>
        <w:tc>
          <w:tcPr>
            <w:tcW w:w="920" w:type="dxa"/>
            <w:vAlign w:val="bottom"/>
            <w:shd w:val="clear" w:color="auto" w:fill="CCEEFF"/>
          </w:tcPr>
          <w:p>
            <w:pPr>
              <w:jc w:val="right"/>
              <w:spacing w:after="0" w:line="127" w:lineRule="exact"/>
              <w:rPr>
                <w:sz w:val="20"/>
                <w:szCs w:val="20"/>
                <w:color w:val="auto"/>
              </w:rPr>
            </w:pPr>
            <w:r>
              <w:rPr>
                <w:rFonts w:ascii="Arial" w:cs="Arial" w:eastAsia="Arial" w:hAnsi="Arial"/>
                <w:sz w:val="14"/>
                <w:szCs w:val="14"/>
                <w:color w:val="auto"/>
              </w:rPr>
              <w:t>512</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7" w:lineRule="exact"/>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1"/>
                <w:szCs w:val="11"/>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11.20%), 3.32% ETP, Due 9/1/19)</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Luxtera, Inc. (12)</w:t>
            </w:r>
          </w:p>
        </w:tc>
        <w:tc>
          <w:tcPr>
            <w:tcW w:w="10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Semiconductors</w:t>
            </w: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Term Loan (12.00% cash (Prime + 6.75%),</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1,945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1,945</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line="146" w:lineRule="exact"/>
              <w:rPr>
                <w:sz w:val="20"/>
                <w:szCs w:val="20"/>
                <w:color w:val="auto"/>
              </w:rPr>
            </w:pPr>
            <w:r>
              <w:rPr>
                <w:rFonts w:ascii="Arial" w:cs="Arial" w:eastAsia="Arial" w:hAnsi="Arial"/>
                <w:sz w:val="14"/>
                <w:szCs w:val="14"/>
                <w:color w:val="auto"/>
              </w:rPr>
              <w:t>Due 3/28/20)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(12.00% cash (Prime + 6.75%),</w:t>
            </w:r>
          </w:p>
        </w:tc>
        <w:tc>
          <w:tcPr>
            <w:tcW w:w="1100" w:type="dxa"/>
            <w:vAlign w:val="bottom"/>
            <w:gridSpan w:val="3"/>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1,500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1,468</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1,468</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line="146" w:lineRule="exact"/>
              <w:rPr>
                <w:sz w:val="20"/>
                <w:szCs w:val="20"/>
                <w:color w:val="auto"/>
              </w:rPr>
            </w:pPr>
            <w:r>
              <w:rPr>
                <w:rFonts w:ascii="Arial" w:cs="Arial" w:eastAsia="Arial" w:hAnsi="Arial"/>
                <w:sz w:val="14"/>
                <w:szCs w:val="14"/>
                <w:color w:val="auto"/>
              </w:rPr>
              <w:t>Due 3/28/20)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Bridge2 Solutions, LLC. (2)(12)</w:t>
            </w:r>
          </w:p>
        </w:tc>
        <w:tc>
          <w:tcPr>
            <w:tcW w:w="10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spacing w:after="0" w:line="127" w:lineRule="exact"/>
              <w:rPr>
                <w:sz w:val="20"/>
                <w:szCs w:val="20"/>
                <w:color w:val="auto"/>
              </w:rPr>
            </w:pPr>
            <w:r>
              <w:rPr>
                <w:rFonts w:ascii="Arial" w:cs="Arial" w:eastAsia="Arial" w:hAnsi="Arial"/>
                <w:sz w:val="14"/>
                <w:szCs w:val="14"/>
                <w:color w:val="auto"/>
              </w:rPr>
              <w:t>Software</w:t>
            </w:r>
          </w:p>
        </w:tc>
        <w:tc>
          <w:tcPr>
            <w:tcW w:w="320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Term Loan (11.60% cash (Libor + 9.25%; Floor</w:t>
            </w:r>
          </w:p>
        </w:tc>
        <w:tc>
          <w:tcPr>
            <w:tcW w:w="1100" w:type="dxa"/>
            <w:vAlign w:val="bottom"/>
            <w:gridSpan w:val="3"/>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5,000</w:t>
            </w:r>
          </w:p>
        </w:tc>
        <w:tc>
          <w:tcPr>
            <w:tcW w:w="114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4,835</w:t>
            </w:r>
          </w:p>
        </w:tc>
        <w:tc>
          <w:tcPr>
            <w:tcW w:w="8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4,835</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10.50%), 2.00% ETP, Due 11/1/21)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4"/>
        </w:trPr>
        <w:tc>
          <w:tcPr>
            <w:tcW w:w="2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Term Loan (11.60% cash (Libor + 9.25%; Floor</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4,835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4,835</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line="146" w:lineRule="exact"/>
              <w:rPr>
                <w:sz w:val="20"/>
                <w:szCs w:val="20"/>
                <w:color w:val="auto"/>
              </w:rPr>
            </w:pPr>
            <w:r>
              <w:rPr>
                <w:rFonts w:ascii="Arial" w:cs="Arial" w:eastAsia="Arial" w:hAnsi="Arial"/>
                <w:sz w:val="14"/>
                <w:szCs w:val="14"/>
                <w:color w:val="auto"/>
              </w:rPr>
              <w:t>10.50%), 2.00% ETP, Due 11/1/21)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6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Education Elements, Inc. (2)(12)</w:t>
            </w:r>
          </w:p>
        </w:tc>
        <w:tc>
          <w:tcPr>
            <w:tcW w:w="10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(12.35% cash (Libor + 10.00%; Floor</w:t>
            </w:r>
          </w:p>
        </w:tc>
        <w:tc>
          <w:tcPr>
            <w:tcW w:w="1100" w:type="dxa"/>
            <w:vAlign w:val="bottom"/>
            <w:gridSpan w:val="3"/>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350</w:t>
            </w: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346</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2"/>
                <w:szCs w:val="12"/>
                <w:color w:val="auto"/>
              </w:rPr>
            </w:pP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line="146" w:lineRule="exact"/>
              <w:rPr>
                <w:sz w:val="20"/>
                <w:szCs w:val="20"/>
                <w:color w:val="auto"/>
              </w:rPr>
            </w:pPr>
            <w:r>
              <w:rPr>
                <w:rFonts w:ascii="Arial" w:cs="Arial" w:eastAsia="Arial" w:hAnsi="Arial"/>
                <w:sz w:val="14"/>
                <w:szCs w:val="14"/>
                <w:color w:val="auto"/>
              </w:rPr>
              <w:t>10.50%), 4.00% ETP, Due 8/1/19)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New Signature US, Inc. (2)(12)(13)</w:t>
            </w:r>
          </w:p>
        </w:tc>
        <w:tc>
          <w:tcPr>
            <w:tcW w:w="10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spacing w:after="0" w:line="127" w:lineRule="exact"/>
              <w:rPr>
                <w:sz w:val="20"/>
                <w:szCs w:val="20"/>
                <w:color w:val="auto"/>
              </w:rPr>
            </w:pPr>
            <w:r>
              <w:rPr>
                <w:rFonts w:ascii="Arial" w:cs="Arial" w:eastAsia="Arial" w:hAnsi="Arial"/>
                <w:sz w:val="14"/>
                <w:szCs w:val="14"/>
                <w:color w:val="auto"/>
              </w:rPr>
              <w:t>Software</w:t>
            </w:r>
          </w:p>
        </w:tc>
        <w:tc>
          <w:tcPr>
            <w:tcW w:w="320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Term Loan (10.85% cash (Libor + 8.50%; Floor</w:t>
            </w:r>
          </w:p>
        </w:tc>
        <w:tc>
          <w:tcPr>
            <w:tcW w:w="1100" w:type="dxa"/>
            <w:vAlign w:val="bottom"/>
            <w:gridSpan w:val="3"/>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2,750</w:t>
            </w:r>
          </w:p>
        </w:tc>
        <w:tc>
          <w:tcPr>
            <w:tcW w:w="114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2,699</w:t>
            </w:r>
          </w:p>
        </w:tc>
        <w:tc>
          <w:tcPr>
            <w:tcW w:w="8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2,699</w:t>
            </w:r>
          </w:p>
        </w:tc>
      </w:tr>
      <w:tr>
        <w:trPr>
          <w:trHeight w:val="164"/>
        </w:trPr>
        <w:tc>
          <w:tcPr>
            <w:tcW w:w="2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10.50%), 3.50% ETP, Due 7/1/22)</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4"/>
                <w:szCs w:val="14"/>
                <w:color w:val="auto"/>
              </w:rPr>
              <w:t>SIGNiX, Inc. (12)</w:t>
            </w:r>
          </w:p>
        </w:tc>
        <w:tc>
          <w:tcPr>
            <w:tcW w:w="100" w:type="dxa"/>
            <w:vAlign w:val="bottom"/>
          </w:tcPr>
          <w:p>
            <w:pPr>
              <w:spacing w:after="0"/>
              <w:rPr>
                <w:sz w:val="11"/>
                <w:szCs w:val="11"/>
                <w:color w:val="auto"/>
              </w:rPr>
            </w:pPr>
          </w:p>
        </w:tc>
        <w:tc>
          <w:tcPr>
            <w:tcW w:w="2380" w:type="dxa"/>
            <w:vAlign w:val="bottom"/>
            <w:gridSpan w:val="2"/>
          </w:tcPr>
          <w:p>
            <w:pPr>
              <w:spacing w:after="0" w:line="127" w:lineRule="exact"/>
              <w:rPr>
                <w:sz w:val="20"/>
                <w:szCs w:val="20"/>
                <w:color w:val="auto"/>
              </w:rPr>
            </w:pPr>
            <w:r>
              <w:rPr>
                <w:rFonts w:ascii="Arial" w:cs="Arial" w:eastAsia="Arial" w:hAnsi="Arial"/>
                <w:sz w:val="14"/>
                <w:szCs w:val="14"/>
                <w:color w:val="auto"/>
              </w:rPr>
              <w:t>Software</w:t>
            </w:r>
          </w:p>
        </w:tc>
        <w:tc>
          <w:tcPr>
            <w:tcW w:w="3200" w:type="dxa"/>
            <w:vAlign w:val="bottom"/>
          </w:tcPr>
          <w:p>
            <w:pPr>
              <w:spacing w:after="0" w:line="127" w:lineRule="exact"/>
              <w:rPr>
                <w:sz w:val="20"/>
                <w:szCs w:val="20"/>
                <w:color w:val="auto"/>
              </w:rPr>
            </w:pPr>
            <w:r>
              <w:rPr>
                <w:rFonts w:ascii="Arial" w:cs="Arial" w:eastAsia="Arial" w:hAnsi="Arial"/>
                <w:sz w:val="14"/>
                <w:szCs w:val="14"/>
                <w:color w:val="auto"/>
              </w:rPr>
              <w:t>Term Loan (13.35% cash (Libor + 11.00%; Floor</w:t>
            </w:r>
          </w:p>
        </w:tc>
        <w:tc>
          <w:tcPr>
            <w:tcW w:w="1100" w:type="dxa"/>
            <w:vAlign w:val="bottom"/>
            <w:gridSpan w:val="3"/>
          </w:tcPr>
          <w:p>
            <w:pPr>
              <w:jc w:val="right"/>
              <w:ind w:right="220"/>
              <w:spacing w:after="0" w:line="127" w:lineRule="exact"/>
              <w:rPr>
                <w:sz w:val="20"/>
                <w:szCs w:val="20"/>
                <w:color w:val="auto"/>
              </w:rPr>
            </w:pPr>
            <w:r>
              <w:rPr>
                <w:rFonts w:ascii="Arial" w:cs="Arial" w:eastAsia="Arial" w:hAnsi="Arial"/>
                <w:sz w:val="14"/>
                <w:szCs w:val="14"/>
                <w:color w:val="auto"/>
              </w:rPr>
              <w:t>1,845</w:t>
            </w:r>
          </w:p>
        </w:tc>
        <w:tc>
          <w:tcPr>
            <w:tcW w:w="114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1,790</w:t>
            </w:r>
          </w:p>
        </w:tc>
        <w:tc>
          <w:tcPr>
            <w:tcW w:w="88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1,555</w:t>
            </w:r>
          </w:p>
        </w:tc>
      </w:tr>
      <w:tr>
        <w:trPr>
          <w:trHeight w:val="164"/>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4"/>
                <w:szCs w:val="14"/>
                <w:color w:val="auto"/>
              </w:rPr>
              <w:t>11.50%), 8.67% ETP, Due 2/1/20)</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xAd, Inc. (2)(12)</w:t>
            </w:r>
          </w:p>
        </w:tc>
        <w:tc>
          <w:tcPr>
            <w:tcW w:w="10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spacing w:after="0" w:line="127" w:lineRule="exact"/>
              <w:rPr>
                <w:sz w:val="20"/>
                <w:szCs w:val="20"/>
                <w:color w:val="auto"/>
              </w:rPr>
            </w:pPr>
            <w:r>
              <w:rPr>
                <w:rFonts w:ascii="Arial" w:cs="Arial" w:eastAsia="Arial" w:hAnsi="Arial"/>
                <w:sz w:val="14"/>
                <w:szCs w:val="14"/>
                <w:color w:val="auto"/>
              </w:rPr>
              <w:t>Software</w:t>
            </w:r>
          </w:p>
        </w:tc>
        <w:tc>
          <w:tcPr>
            <w:tcW w:w="320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Term Loan (11.05% cash (Libor + 8.70%; Floor</w:t>
            </w:r>
          </w:p>
        </w:tc>
        <w:tc>
          <w:tcPr>
            <w:tcW w:w="1100" w:type="dxa"/>
            <w:vAlign w:val="bottom"/>
            <w:gridSpan w:val="3"/>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5,000</w:t>
            </w:r>
          </w:p>
        </w:tc>
        <w:tc>
          <w:tcPr>
            <w:tcW w:w="114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4,923</w:t>
            </w:r>
          </w:p>
        </w:tc>
        <w:tc>
          <w:tcPr>
            <w:tcW w:w="8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4,923</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10.00%), 4.75% ETP, Due 11/1/21)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(11.05% cash (Libor + 8.70%; Floor</w:t>
            </w:r>
          </w:p>
        </w:tc>
        <w:tc>
          <w:tcPr>
            <w:tcW w:w="1100" w:type="dxa"/>
            <w:vAlign w:val="bottom"/>
            <w:gridSpan w:val="3"/>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5,000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4,923</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4,923</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10.00%), 4.75% ETP, Due 11/1/21)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(11.05% cash (Libor + 8.70%; Floor</w:t>
            </w:r>
          </w:p>
        </w:tc>
        <w:tc>
          <w:tcPr>
            <w:tcW w:w="1100" w:type="dxa"/>
            <w:vAlign w:val="bottom"/>
            <w:gridSpan w:val="3"/>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2,954</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2,954</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10.00%), 4.75% ETP, Due 11/1/21)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(11.05% cash (Libor + 8.70%; Floor</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1,969</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1,969</w:t>
            </w:r>
          </w:p>
        </w:tc>
      </w:tr>
      <w:tr>
        <w:trPr>
          <w:trHeight w:val="178"/>
        </w:trPr>
        <w:tc>
          <w:tcPr>
            <w:tcW w:w="2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10.00%), 4.75% ETP, Due 11/1/21)</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39"/>
        </w:trPr>
        <w:tc>
          <w:tcPr>
            <w:tcW w:w="5100" w:type="dxa"/>
            <w:vAlign w:val="bottom"/>
            <w:tcBorders>
              <w:bottom w:val="single" w:sz="8" w:color="CCEEFF"/>
            </w:tcBorders>
            <w:gridSpan w:val="4"/>
          </w:tcPr>
          <w:p>
            <w:pPr>
              <w:spacing w:after="0" w:line="139" w:lineRule="exact"/>
              <w:rPr>
                <w:sz w:val="20"/>
                <w:szCs w:val="20"/>
                <w:color w:val="auto"/>
              </w:rPr>
            </w:pPr>
            <w:r>
              <w:rPr>
                <w:rFonts w:ascii="Arial" w:cs="Arial" w:eastAsia="Arial" w:hAnsi="Arial"/>
                <w:sz w:val="14"/>
                <w:szCs w:val="14"/>
                <w:color w:val="auto"/>
              </w:rPr>
              <w:t>Total Non- Affiliate Debt Investments — Technology</w:t>
            </w:r>
          </w:p>
        </w:tc>
        <w:tc>
          <w:tcPr>
            <w:tcW w:w="3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119,720</w:t>
            </w: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119,185</w:t>
            </w:r>
          </w:p>
        </w:tc>
        <w:tc>
          <w:tcPr>
            <w:tcW w:w="100" w:type="dxa"/>
            <w:vAlign w:val="bottom"/>
            <w:tcBorders>
              <w:bottom w:val="single" w:sz="8" w:color="CCEEFF"/>
            </w:tcBorders>
          </w:tcPr>
          <w:p>
            <w:pPr>
              <w:spacing w:after="0"/>
              <w:rPr>
                <w:sz w:val="12"/>
                <w:szCs w:val="12"/>
                <w:color w:val="auto"/>
              </w:rPr>
            </w:pPr>
          </w:p>
        </w:tc>
      </w:tr>
      <w:tr>
        <w:trPr>
          <w:trHeight w:val="139"/>
        </w:trPr>
        <w:tc>
          <w:tcPr>
            <w:tcW w:w="510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b w:val="1"/>
                <w:bCs w:val="1"/>
                <w:color w:val="auto"/>
                <w:w w:val="92"/>
              </w:rPr>
              <w:t>Non-Affiliate Debt Investments — Healthcare information and services — 17.5% (8)</w:t>
            </w: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4"/>
                <w:szCs w:val="14"/>
                <w:color w:val="auto"/>
              </w:rPr>
              <w:t>Catasys, Inc. (2)(5)(12)</w:t>
            </w:r>
          </w:p>
        </w:tc>
        <w:tc>
          <w:tcPr>
            <w:tcW w:w="100" w:type="dxa"/>
            <w:vAlign w:val="bottom"/>
          </w:tcPr>
          <w:p>
            <w:pPr>
              <w:spacing w:after="0"/>
              <w:rPr>
                <w:sz w:val="11"/>
                <w:szCs w:val="11"/>
                <w:color w:val="auto"/>
              </w:rPr>
            </w:pPr>
          </w:p>
        </w:tc>
        <w:tc>
          <w:tcPr>
            <w:tcW w:w="2380" w:type="dxa"/>
            <w:vAlign w:val="bottom"/>
            <w:gridSpan w:val="2"/>
          </w:tcPr>
          <w:p>
            <w:pPr>
              <w:spacing w:after="0" w:line="127" w:lineRule="exact"/>
              <w:rPr>
                <w:sz w:val="20"/>
                <w:szCs w:val="20"/>
                <w:color w:val="auto"/>
              </w:rPr>
            </w:pPr>
            <w:r>
              <w:rPr>
                <w:rFonts w:ascii="Arial" w:cs="Arial" w:eastAsia="Arial" w:hAnsi="Arial"/>
                <w:sz w:val="14"/>
                <w:szCs w:val="14"/>
                <w:color w:val="auto"/>
              </w:rPr>
              <w:t>Software</w:t>
            </w:r>
          </w:p>
        </w:tc>
        <w:tc>
          <w:tcPr>
            <w:tcW w:w="3200" w:type="dxa"/>
            <w:vAlign w:val="bottom"/>
          </w:tcPr>
          <w:p>
            <w:pPr>
              <w:spacing w:after="0" w:line="127" w:lineRule="exact"/>
              <w:rPr>
                <w:sz w:val="20"/>
                <w:szCs w:val="20"/>
                <w:color w:val="auto"/>
              </w:rPr>
            </w:pPr>
            <w:r>
              <w:rPr>
                <w:rFonts w:ascii="Arial" w:cs="Arial" w:eastAsia="Arial" w:hAnsi="Arial"/>
                <w:sz w:val="14"/>
                <w:szCs w:val="14"/>
                <w:color w:val="auto"/>
              </w:rPr>
              <w:t>Term Loan (10.10% cash (Libor + 7.75%;</w:t>
            </w:r>
          </w:p>
        </w:tc>
        <w:tc>
          <w:tcPr>
            <w:tcW w:w="1100" w:type="dxa"/>
            <w:vAlign w:val="bottom"/>
            <w:gridSpan w:val="3"/>
          </w:tcPr>
          <w:p>
            <w:pPr>
              <w:jc w:val="right"/>
              <w:ind w:right="220"/>
              <w:spacing w:after="0" w:line="127" w:lineRule="exact"/>
              <w:rPr>
                <w:sz w:val="20"/>
                <w:szCs w:val="20"/>
                <w:color w:val="auto"/>
              </w:rPr>
            </w:pPr>
            <w:r>
              <w:rPr>
                <w:rFonts w:ascii="Arial" w:cs="Arial" w:eastAsia="Arial" w:hAnsi="Arial"/>
                <w:sz w:val="14"/>
                <w:szCs w:val="14"/>
                <w:color w:val="auto"/>
              </w:rPr>
              <w:t>2,500</w:t>
            </w:r>
          </w:p>
        </w:tc>
        <w:tc>
          <w:tcPr>
            <w:tcW w:w="114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2,478</w:t>
            </w:r>
          </w:p>
        </w:tc>
        <w:tc>
          <w:tcPr>
            <w:tcW w:w="88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2,478</w:t>
            </w:r>
          </w:p>
        </w:tc>
      </w:tr>
      <w:tr>
        <w:trPr>
          <w:trHeight w:val="164"/>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4"/>
                <w:szCs w:val="14"/>
                <w:color w:val="auto"/>
              </w:rPr>
              <w:t>Floor 9.75%), 6.00% ETP, Due 3/1/22)</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(10.10% cash (Libor + 7.75%;</w:t>
            </w:r>
          </w:p>
        </w:tc>
        <w:tc>
          <w:tcPr>
            <w:tcW w:w="1100" w:type="dxa"/>
            <w:vAlign w:val="bottom"/>
            <w:gridSpan w:val="3"/>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2,500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2,478</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2,478</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line="146" w:lineRule="exact"/>
              <w:rPr>
                <w:sz w:val="20"/>
                <w:szCs w:val="20"/>
                <w:color w:val="auto"/>
              </w:rPr>
            </w:pPr>
            <w:r>
              <w:rPr>
                <w:rFonts w:ascii="Arial" w:cs="Arial" w:eastAsia="Arial" w:hAnsi="Arial"/>
                <w:sz w:val="14"/>
                <w:szCs w:val="14"/>
                <w:color w:val="auto"/>
              </w:rPr>
              <w:t>Floor 9.75%), 6.00% ETP, Due 3/1/22)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(10.10% cash (Libor + 7.75%;</w:t>
            </w:r>
          </w:p>
        </w:tc>
        <w:tc>
          <w:tcPr>
            <w:tcW w:w="1100" w:type="dxa"/>
            <w:vAlign w:val="bottom"/>
            <w:gridSpan w:val="3"/>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2,500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2,477</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2,477</w:t>
            </w:r>
          </w:p>
        </w:tc>
      </w:tr>
      <w:tr>
        <w:trPr>
          <w:trHeight w:val="180"/>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4"/>
                <w:szCs w:val="14"/>
                <w:color w:val="auto"/>
              </w:rPr>
              <w:t>Floor 9.75%), 6.00% ETP, Due 3/1/22)</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-5603240</wp:posOffset>
            </wp:positionV>
            <wp:extent cx="7249160" cy="7410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9160" cy="7410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-4676775</wp:posOffset>
            </wp:positionV>
            <wp:extent cx="7249160" cy="3702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91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-3750945</wp:posOffset>
            </wp:positionV>
            <wp:extent cx="7249160" cy="1854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9160" cy="1854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-3380105</wp:posOffset>
            </wp:positionV>
            <wp:extent cx="7249160" cy="3702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91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-2824480</wp:posOffset>
            </wp:positionV>
            <wp:extent cx="7249160" cy="3702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91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-2176145</wp:posOffset>
            </wp:positionV>
            <wp:extent cx="7249160" cy="278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9160" cy="278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-576580</wp:posOffset>
            </wp:positionV>
            <wp:extent cx="7249160" cy="5556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9160" cy="55562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 of</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8"/>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100" w:type="dxa"/>
            <w:vAlign w:val="bottom"/>
          </w:tcPr>
          <w:p>
            <w:pPr>
              <w:spacing w:after="0"/>
              <w:rPr>
                <w:sz w:val="14"/>
                <w:szCs w:val="14"/>
                <w:color w:val="auto"/>
              </w:rPr>
            </w:pPr>
          </w:p>
        </w:tc>
        <w:tc>
          <w:tcPr>
            <w:tcW w:w="2280" w:type="dxa"/>
            <w:vAlign w:val="bottom"/>
          </w:tcPr>
          <w:p>
            <w:pPr>
              <w:ind w:left="94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3300" w:type="dxa"/>
            <w:vAlign w:val="bottom"/>
            <w:gridSpan w:val="2"/>
          </w:tcPr>
          <w:p>
            <w:pPr>
              <w:ind w:left="640"/>
              <w:spacing w:after="0"/>
              <w:rPr>
                <w:sz w:val="20"/>
                <w:szCs w:val="20"/>
                <w:color w:val="auto"/>
              </w:rPr>
            </w:pPr>
            <w:r>
              <w:rPr>
                <w:rFonts w:ascii="Arial" w:cs="Arial" w:eastAsia="Arial" w:hAnsi="Arial"/>
                <w:sz w:val="14"/>
                <w:szCs w:val="14"/>
                <w:b w:val="1"/>
                <w:bCs w:val="1"/>
                <w:color w:val="auto"/>
              </w:rPr>
              <w:t>Type of Investment (4)(7)(9)(10)</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Investments (6)</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HealthEdge Software, Inc. (2)(12)</w:t>
            </w:r>
          </w:p>
        </w:tc>
        <w:tc>
          <w:tcPr>
            <w:tcW w:w="100" w:type="dxa"/>
            <w:vAlign w:val="bottom"/>
            <w:tcBorders>
              <w:top w:val="single" w:sz="8" w:color="CCEEFF"/>
            </w:tcBorders>
            <w:shd w:val="clear" w:color="auto" w:fill="CCEEFF"/>
          </w:tcPr>
          <w:p>
            <w:pPr>
              <w:spacing w:after="0"/>
              <w:rPr>
                <w:sz w:val="10"/>
                <w:szCs w:val="10"/>
                <w:color w:val="auto"/>
              </w:rPr>
            </w:pPr>
          </w:p>
        </w:tc>
        <w:tc>
          <w:tcPr>
            <w:tcW w:w="228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Software</w:t>
            </w:r>
          </w:p>
        </w:tc>
        <w:tc>
          <w:tcPr>
            <w:tcW w:w="100" w:type="dxa"/>
            <w:vAlign w:val="bottom"/>
            <w:tcBorders>
              <w:top w:val="single" w:sz="8" w:color="CCEEFF"/>
            </w:tcBorders>
            <w:shd w:val="clear" w:color="auto" w:fill="CCEEFF"/>
          </w:tcPr>
          <w:p>
            <w:pPr>
              <w:spacing w:after="0"/>
              <w:rPr>
                <w:sz w:val="10"/>
                <w:szCs w:val="10"/>
                <w:color w:val="auto"/>
              </w:rPr>
            </w:pPr>
          </w:p>
        </w:tc>
        <w:tc>
          <w:tcPr>
            <w:tcW w:w="320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Term Loan (10.60% cash (Libor + 8.25%;</w:t>
            </w: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5,000</w:t>
            </w: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4,948</w:t>
            </w: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4,948</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Floor 9.25%), 3.00% ETP, Due 7/1/22)</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(10.60% cash (Libor + 8.25%;</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3,750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3,704</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Floor 9.25%), 3.00% ETP, Due 1/1/23)</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(10.60% cash (Libor + 8.25%;</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3,750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3,701</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3,701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Floor 9.25%), 3.00% ETP, Due 4/1/23)</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Term Loan (10.69% cash (Libor + 8.25%;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3,750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3,696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3,696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CCEEFF"/>
            </w:tcBorders>
            <w:shd w:val="clear" w:color="auto" w:fill="CCEEFF"/>
          </w:tcPr>
          <w:p>
            <w:pPr>
              <w:spacing w:after="0"/>
              <w:rPr>
                <w:sz w:val="12"/>
                <w:szCs w:val="12"/>
                <w:color w:val="auto"/>
              </w:rPr>
            </w:pPr>
          </w:p>
        </w:tc>
        <w:tc>
          <w:tcPr>
            <w:tcW w:w="3400" w:type="dxa"/>
            <w:vAlign w:val="bottom"/>
            <w:tcBorders>
              <w:top w:val="single" w:sz="8" w:color="CCEEFF"/>
            </w:tcBorders>
            <w:gridSpan w:val="3"/>
            <w:shd w:val="clear" w:color="auto" w:fill="CCEEFF"/>
          </w:tcPr>
          <w:p>
            <w:pPr>
              <w:ind w:left="100"/>
              <w:spacing w:after="0" w:line="139" w:lineRule="exact"/>
              <w:rPr>
                <w:sz w:val="20"/>
                <w:szCs w:val="20"/>
                <w:color w:val="auto"/>
              </w:rPr>
            </w:pPr>
            <w:r>
              <w:rPr>
                <w:rFonts w:ascii="Arial" w:cs="Arial" w:eastAsia="Arial" w:hAnsi="Arial"/>
                <w:sz w:val="14"/>
                <w:szCs w:val="14"/>
                <w:color w:val="auto"/>
              </w:rPr>
              <w:t>Floor 9.25%), 3.00% ETP, Due 1/1/24)</w:t>
            </w:r>
          </w:p>
        </w:tc>
        <w:tc>
          <w:tcPr>
            <w:tcW w:w="7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80" w:type="dxa"/>
            <w:vAlign w:val="bottom"/>
            <w:gridSpan w:val="3"/>
          </w:tcPr>
          <w:p>
            <w:pPr>
              <w:spacing w:after="0" w:line="159" w:lineRule="exact"/>
              <w:rPr>
                <w:sz w:val="20"/>
                <w:szCs w:val="20"/>
                <w:color w:val="auto"/>
              </w:rPr>
            </w:pPr>
            <w:r>
              <w:rPr>
                <w:rFonts w:ascii="Arial" w:cs="Arial" w:eastAsia="Arial" w:hAnsi="Arial"/>
                <w:sz w:val="14"/>
                <w:szCs w:val="14"/>
                <w:color w:val="auto"/>
              </w:rPr>
              <w:t>Total Non- Affiliate Debt Investments — Healthcare information and services</w:t>
            </w:r>
          </w:p>
        </w:tc>
        <w:tc>
          <w:tcPr>
            <w:tcW w:w="1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23,482</w:t>
            </w: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23,482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Total Non- Affiliate Debt Investments</w:t>
            </w:r>
          </w:p>
        </w:tc>
        <w:tc>
          <w:tcPr>
            <w:tcW w:w="1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210,228</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209,693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980" w:type="dxa"/>
            <w:vAlign w:val="bottom"/>
            <w:gridSpan w:val="3"/>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Non-Affiliate Warrant Investments — 6.9% (8)</w:t>
            </w: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8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rPr>
              <w:t>Non-Affiliate Warrants — Life Science — 1.5% (8)</w:t>
            </w: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ACT Biotech Corporation</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130,872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Alpine Immune Sciences, Inc. (5)(12)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4,634 Common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122</w:t>
            </w: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Celsion Corporation (2)(5)(12)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95,465 Common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79</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Espero BioPharma, Inc. (2)(5)(12)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1,506,937 Common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184</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185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w w:val="94"/>
              </w:rPr>
              <w:t>Rocket Pharmaceuticals Corporation (5)(12)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7,051 Common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Palatin Technologies, Inc. (2)(5)(12)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608,058 Common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51</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Revance Therapeutics, Inc. (5)(12)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34,113 Common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Sample6, Inc. (2)(12)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661,956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53</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Strongbridge U.S. Inc. (2)(5)(12)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160,714 Common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72</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Sunesis Pharmaceuticals, Inc. (5)(12)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2,050 Common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vTv Therapeutics Inc. (2)(5)(12)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95,293 Common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Titan Pharmaceuticals, Inc. (2)(5)(12)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Drug Delivery</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2,240,000 Common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95</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AccuVein Inc. (2)(12)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Medical Device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1,174,881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24</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Aerin Medical, Inc. (2)(12)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Medical Device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1,818,182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66</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Conventus Orthopaedics, Inc. (2)(12)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Medical Device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720,000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95</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CSA Medical, Inc. (12)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Medical Device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745,562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89</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Lantos Technologies, Inc. (2)(12)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Medical Device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1,715,926 Common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253</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MacuLogix, Inc. (2)(12)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Medical Device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234,742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179</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Mitralign, Inc. (2)(12)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Medical Device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64,190 Common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52</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NinePoint Medical, Inc. (2)(12)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Medical Device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29,102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33</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ReShape Lifesciences Inc. (5)(12)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Medical Device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121 Common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341</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Tryton Medical, Inc. (2)(12)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Medical Device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122,362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VERO Biotech LLC (2)(12)</w:t>
            </w:r>
          </w:p>
        </w:tc>
        <w:tc>
          <w:tcPr>
            <w:tcW w:w="10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Medical Device</w:t>
            </w:r>
          </w:p>
        </w:tc>
        <w:tc>
          <w:tcPr>
            <w:tcW w:w="340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800 Common Stock Warrants</w:t>
            </w: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0" w:type="dxa"/>
            <w:vAlign w:val="bottom"/>
            <w:tcBorders>
              <w:bottom w:val="single" w:sz="8" w:color="CCEEFF"/>
            </w:tcBorders>
          </w:tcPr>
          <w:p>
            <w:pPr>
              <w:spacing w:after="0" w:line="139" w:lineRule="exact"/>
              <w:rPr>
                <w:sz w:val="20"/>
                <w:szCs w:val="20"/>
                <w:color w:val="auto"/>
              </w:rPr>
            </w:pPr>
            <w:r>
              <w:rPr>
                <w:rFonts w:ascii="Arial" w:cs="Arial" w:eastAsia="Arial" w:hAnsi="Arial"/>
                <w:sz w:val="14"/>
                <w:szCs w:val="14"/>
                <w:color w:val="auto"/>
                <w:w w:val="95"/>
              </w:rPr>
              <w:t>Total Non-Affiliate Warrants — Life Science</w:t>
            </w:r>
          </w:p>
        </w:tc>
        <w:tc>
          <w:tcPr>
            <w:tcW w:w="1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2,002</w:t>
            </w: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1,909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Non-Affiliate Warrants — Technology — 4.8% (8)</w:t>
            </w: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Audacy Corporation (2)(12)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Communications</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1,545,575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194</w:t>
            </w: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Intelepeer Holdings, Inc. (2)(12)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Communications</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1,171,549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94</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PebblePost, Inc. (2)(12)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Communications</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598,850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92</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158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Food52, Inc. (2)(12)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Consumer-related Technologies</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102,941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104</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Gwynnie Bee, Inc. (2)(12)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Consumer-related Technologies</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268,591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68</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820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Le Tote, Inc. (2)(12)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Consumer-related Technologies</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202,974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63</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Mohawk Group Holdings, Inc. (2)(12)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Consumer-related Technologies</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300,000 Common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195</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195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Rhapsody International Inc. (2)(12)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Consumer-related Technologies</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852,273 Common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164</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Kaminario, Inc. (2)(12)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Data Storage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9,981,346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124</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161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IgnitionOne, Inc. (2)(12)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Internet and Media</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262,910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672</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Jump Ramp Games, Inc. (2)(12)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Internet and Media</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159,766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Kixeye, Inc. (2)(12)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Internet and Media</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791,251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75</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Rocket Lawyer Incorporated (2)(12)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Internet and Media</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261,721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92</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Verve Wireless, Inc. (2)(12)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Internet and Media</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112,805 Common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120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The NanoSteel Company, Inc. (2)(12)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Materials</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467,277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233</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567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Powerhouse Dynamics, Inc. (2)(12)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Power Management</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348,838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Avalanche Technology, Inc. (2)(12)</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Semiconductors</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202,602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101</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Luxtera, Inc.(2)(12)</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Semiconductors</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3,546,553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213</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Arial" w:cs="Arial" w:eastAsia="Arial" w:hAnsi="Arial"/>
                <w:sz w:val="14"/>
                <w:szCs w:val="14"/>
                <w:color w:val="auto"/>
              </w:rPr>
              <w:t>Soraa, Inc. (2)(12)</w:t>
            </w:r>
          </w:p>
        </w:tc>
        <w:tc>
          <w:tcPr>
            <w:tcW w:w="1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Semiconductors</w:t>
            </w:r>
          </w:p>
        </w:tc>
        <w:tc>
          <w:tcPr>
            <w:tcW w:w="3400" w:type="dxa"/>
            <w:vAlign w:val="bottom"/>
            <w:gridSpan w:val="3"/>
          </w:tcPr>
          <w:p>
            <w:pPr>
              <w:ind w:left="100"/>
              <w:spacing w:after="0"/>
              <w:rPr>
                <w:sz w:val="20"/>
                <w:szCs w:val="20"/>
                <w:color w:val="auto"/>
              </w:rPr>
            </w:pPr>
            <w:r>
              <w:rPr>
                <w:rFonts w:ascii="Arial" w:cs="Arial" w:eastAsia="Arial" w:hAnsi="Arial"/>
                <w:sz w:val="14"/>
                <w:szCs w:val="14"/>
                <w:color w:val="auto"/>
              </w:rPr>
              <w:t>203,616 Preferred Stock Warrants</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 of</w:t>
            </w:r>
          </w:p>
        </w:tc>
        <w:tc>
          <w:tcPr>
            <w:tcW w:w="1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00" w:type="dxa"/>
            <w:vAlign w:val="bottom"/>
            <w:gridSpan w:val="2"/>
          </w:tcPr>
          <w:p>
            <w:pPr>
              <w:ind w:left="540"/>
              <w:spacing w:after="0"/>
              <w:rPr>
                <w:sz w:val="20"/>
                <w:szCs w:val="20"/>
                <w:color w:val="auto"/>
              </w:rPr>
            </w:pPr>
            <w:r>
              <w:rPr>
                <w:rFonts w:ascii="Arial" w:cs="Arial" w:eastAsia="Arial" w:hAnsi="Arial"/>
                <w:sz w:val="14"/>
                <w:szCs w:val="14"/>
                <w:b w:val="1"/>
                <w:bCs w:val="1"/>
                <w:color w:val="auto"/>
              </w:rPr>
              <w:t>Portfolio Company (1)(3)</w:t>
            </w:r>
          </w:p>
        </w:tc>
        <w:tc>
          <w:tcPr>
            <w:tcW w:w="2280" w:type="dxa"/>
            <w:vAlign w:val="bottom"/>
          </w:tcPr>
          <w:p>
            <w:pPr>
              <w:ind w:left="94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Type of Investment (4)(7)(9)(10)</w:t>
            </w: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Amount</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Investments (6)</w:t>
            </w:r>
          </w:p>
        </w:tc>
        <w:tc>
          <w:tcPr>
            <w:tcW w:w="1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Bolt Solutions Inc. (2)(12)</w:t>
            </w:r>
          </w:p>
        </w:tc>
        <w:tc>
          <w:tcPr>
            <w:tcW w:w="1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Software</w:t>
            </w: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w w:val="90"/>
              </w:rPr>
              <w:t>202,892</w:t>
            </w:r>
          </w:p>
        </w:tc>
        <w:tc>
          <w:tcPr>
            <w:tcW w:w="2720" w:type="dxa"/>
            <w:vAlign w:val="bottom"/>
            <w:tcBorders>
              <w:top w:val="single" w:sz="8" w:color="auto"/>
            </w:tcBorders>
            <w:shd w:val="clear" w:color="auto" w:fill="CCEEFF"/>
          </w:tcPr>
          <w:p>
            <w:pPr>
              <w:ind w:left="20"/>
              <w:spacing w:after="0" w:line="139" w:lineRule="exact"/>
              <w:rPr>
                <w:sz w:val="20"/>
                <w:szCs w:val="20"/>
                <w:color w:val="auto"/>
              </w:rPr>
            </w:pPr>
            <w:r>
              <w:rPr>
                <w:rFonts w:ascii="Arial" w:cs="Arial" w:eastAsia="Arial" w:hAnsi="Arial"/>
                <w:sz w:val="14"/>
                <w:szCs w:val="14"/>
                <w:color w:val="auto"/>
              </w:rPr>
              <w:t>Preferred Stock Warrants</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113</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Bridge2 Solutions, Inc. (2)(12)</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580" w:type="dxa"/>
            <w:vAlign w:val="bottom"/>
            <w:gridSpan w:val="2"/>
          </w:tcPr>
          <w:p>
            <w:pPr>
              <w:ind w:left="100"/>
              <w:spacing w:after="0" w:line="146" w:lineRule="exact"/>
              <w:rPr>
                <w:sz w:val="20"/>
                <w:szCs w:val="20"/>
                <w:color w:val="auto"/>
              </w:rPr>
            </w:pPr>
            <w:r>
              <w:rPr>
                <w:rFonts w:ascii="Arial" w:cs="Arial" w:eastAsia="Arial" w:hAnsi="Arial"/>
                <w:sz w:val="14"/>
                <w:szCs w:val="14"/>
                <w:color w:val="auto"/>
                <w:w w:val="90"/>
              </w:rPr>
              <w:t>125,458</w:t>
            </w:r>
          </w:p>
        </w:tc>
        <w:tc>
          <w:tcPr>
            <w:tcW w:w="282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Common Stock Warrants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432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756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BSI Platform Holdings, LLC (2)(12)(13)</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5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w w:val="90"/>
              </w:rPr>
              <w:t>137,500</w:t>
            </w:r>
          </w:p>
        </w:tc>
        <w:tc>
          <w:tcPr>
            <w:tcW w:w="282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Clarabridge, Inc. (12)</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4"/>
          </w:tcPr>
          <w:p>
            <w:pPr>
              <w:ind w:left="100"/>
              <w:spacing w:after="0" w:line="146" w:lineRule="exact"/>
              <w:rPr>
                <w:sz w:val="20"/>
                <w:szCs w:val="20"/>
                <w:color w:val="auto"/>
              </w:rPr>
            </w:pPr>
            <w:r>
              <w:rPr>
                <w:rFonts w:ascii="Arial" w:cs="Arial" w:eastAsia="Arial" w:hAnsi="Arial"/>
                <w:sz w:val="14"/>
                <w:szCs w:val="14"/>
                <w:color w:val="auto"/>
              </w:rPr>
              <w:t>53,486 Preferred Stock Warrants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106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Education Elements, Inc. (2)(12)</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5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w w:val="90"/>
              </w:rPr>
              <w:t>238,121</w:t>
            </w:r>
          </w:p>
        </w:tc>
        <w:tc>
          <w:tcPr>
            <w:tcW w:w="282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Lotame Solutions, Inc. (2)(12)</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4"/>
          </w:tcPr>
          <w:p>
            <w:pPr>
              <w:ind w:left="100"/>
              <w:spacing w:after="0" w:line="146" w:lineRule="exact"/>
              <w:rPr>
                <w:sz w:val="20"/>
                <w:szCs w:val="20"/>
                <w:color w:val="auto"/>
              </w:rPr>
            </w:pPr>
            <w:r>
              <w:rPr>
                <w:rFonts w:ascii="Arial" w:cs="Arial" w:eastAsia="Arial" w:hAnsi="Arial"/>
                <w:sz w:val="14"/>
                <w:szCs w:val="14"/>
                <w:color w:val="auto"/>
              </w:rPr>
              <w:t>288,115 Preferred Stock Warrants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22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286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Metricly, Inc. (12)</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4"/>
            <w:shd w:val="clear" w:color="auto" w:fill="CCEEFF"/>
          </w:tcPr>
          <w:p>
            <w:pPr>
              <w:ind w:left="100"/>
              <w:spacing w:after="0" w:line="146" w:lineRule="exact"/>
              <w:rPr>
                <w:sz w:val="20"/>
                <w:szCs w:val="20"/>
                <w:color w:val="auto"/>
              </w:rPr>
            </w:pPr>
            <w:r>
              <w:rPr>
                <w:rFonts w:ascii="Arial" w:cs="Arial" w:eastAsia="Arial" w:hAnsi="Arial"/>
                <w:sz w:val="14"/>
                <w:szCs w:val="14"/>
                <w:color w:val="auto"/>
              </w:rPr>
              <w:t>41,569 Common Stock Warrants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Riv Data Corp. (2)(12)</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580" w:type="dxa"/>
            <w:vAlign w:val="bottom"/>
            <w:gridSpan w:val="2"/>
          </w:tcPr>
          <w:p>
            <w:pPr>
              <w:ind w:left="100"/>
              <w:spacing w:after="0" w:line="146" w:lineRule="exact"/>
              <w:rPr>
                <w:sz w:val="20"/>
                <w:szCs w:val="20"/>
                <w:color w:val="auto"/>
              </w:rPr>
            </w:pPr>
            <w:r>
              <w:rPr>
                <w:rFonts w:ascii="Arial" w:cs="Arial" w:eastAsia="Arial" w:hAnsi="Arial"/>
                <w:sz w:val="14"/>
                <w:szCs w:val="14"/>
                <w:color w:val="auto"/>
                <w:w w:val="90"/>
              </w:rPr>
              <w:t>321,428</w:t>
            </w:r>
          </w:p>
        </w:tc>
        <w:tc>
          <w:tcPr>
            <w:tcW w:w="282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ShopKeep.com, Inc. (2)(12)</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5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w w:val="90"/>
              </w:rPr>
              <w:t>193,962</w:t>
            </w:r>
          </w:p>
        </w:tc>
        <w:tc>
          <w:tcPr>
            <w:tcW w:w="282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118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SIGNiX, Inc. (12)</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580" w:type="dxa"/>
            <w:vAlign w:val="bottom"/>
            <w:gridSpan w:val="2"/>
          </w:tcPr>
          <w:p>
            <w:pPr>
              <w:ind w:left="100"/>
              <w:spacing w:after="0" w:line="146" w:lineRule="exact"/>
              <w:rPr>
                <w:sz w:val="20"/>
                <w:szCs w:val="20"/>
                <w:color w:val="auto"/>
              </w:rPr>
            </w:pPr>
            <w:r>
              <w:rPr>
                <w:rFonts w:ascii="Arial" w:cs="Arial" w:eastAsia="Arial" w:hAnsi="Arial"/>
                <w:sz w:val="14"/>
                <w:szCs w:val="14"/>
                <w:color w:val="auto"/>
                <w:w w:val="90"/>
              </w:rPr>
              <w:t>133,560</w:t>
            </w:r>
          </w:p>
        </w:tc>
        <w:tc>
          <w:tcPr>
            <w:tcW w:w="282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225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Skyword, Inc. (12)</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5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w w:val="90"/>
              </w:rPr>
              <w:t>301,056</w:t>
            </w:r>
          </w:p>
        </w:tc>
        <w:tc>
          <w:tcPr>
            <w:tcW w:w="282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Sys-Tech Solutions, Inc. (2)(12)</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580" w:type="dxa"/>
            <w:vAlign w:val="bottom"/>
            <w:gridSpan w:val="2"/>
          </w:tcPr>
          <w:p>
            <w:pPr>
              <w:ind w:left="100"/>
              <w:spacing w:after="0" w:line="146" w:lineRule="exact"/>
              <w:rPr>
                <w:sz w:val="20"/>
                <w:szCs w:val="20"/>
                <w:color w:val="auto"/>
              </w:rPr>
            </w:pPr>
            <w:r>
              <w:rPr>
                <w:rFonts w:ascii="Arial" w:cs="Arial" w:eastAsia="Arial" w:hAnsi="Arial"/>
                <w:sz w:val="14"/>
                <w:szCs w:val="14"/>
                <w:color w:val="auto"/>
                <w:w w:val="90"/>
              </w:rPr>
              <w:t>375,000</w:t>
            </w:r>
          </w:p>
        </w:tc>
        <w:tc>
          <w:tcPr>
            <w:tcW w:w="282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242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429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Weblinc Corporation (2)(12)</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5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w w:val="90"/>
              </w:rPr>
              <w:t>195,122</w:t>
            </w:r>
          </w:p>
        </w:tc>
        <w:tc>
          <w:tcPr>
            <w:tcW w:w="282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Borders>
              <w:bottom w:val="single" w:sz="8" w:color="CCEEFF"/>
            </w:tcBorders>
            <w:gridSpan w:val="2"/>
          </w:tcPr>
          <w:p>
            <w:pPr>
              <w:spacing w:after="0" w:line="159" w:lineRule="exact"/>
              <w:rPr>
                <w:sz w:val="20"/>
                <w:szCs w:val="20"/>
                <w:color w:val="auto"/>
              </w:rPr>
            </w:pPr>
            <w:r>
              <w:rPr>
                <w:rFonts w:ascii="Arial" w:cs="Arial" w:eastAsia="Arial" w:hAnsi="Arial"/>
                <w:sz w:val="14"/>
                <w:szCs w:val="14"/>
                <w:color w:val="auto"/>
              </w:rPr>
              <w:t>xAd, Inc. (2)(12)</w:t>
            </w:r>
          </w:p>
        </w:tc>
        <w:tc>
          <w:tcPr>
            <w:tcW w:w="22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Software</w:t>
            </w:r>
          </w:p>
        </w:tc>
        <w:tc>
          <w:tcPr>
            <w:tcW w:w="3400" w:type="dxa"/>
            <w:vAlign w:val="bottom"/>
            <w:tcBorders>
              <w:bottom w:val="single" w:sz="8" w:color="CCEEFF"/>
            </w:tcBorders>
            <w:gridSpan w:val="4"/>
          </w:tcPr>
          <w:p>
            <w:pPr>
              <w:ind w:left="100"/>
              <w:spacing w:after="0" w:line="159" w:lineRule="exact"/>
              <w:rPr>
                <w:sz w:val="20"/>
                <w:szCs w:val="20"/>
                <w:color w:val="auto"/>
              </w:rPr>
            </w:pPr>
            <w:r>
              <w:rPr>
                <w:rFonts w:ascii="Arial" w:cs="Arial" w:eastAsia="Arial" w:hAnsi="Arial"/>
                <w:sz w:val="14"/>
                <w:szCs w:val="14"/>
                <w:color w:val="auto"/>
              </w:rPr>
              <w:t>4,343,350 Preferred Stock Warrants</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177</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Total Non-Affiliate Warrants — Technology</w:t>
            </w: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4,289</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6,634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8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Non-Affiliate Warrants — Cleantech — 0.1% (8)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Renmatix, Inc. (2)(12)</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Alternative Energy</w:t>
            </w:r>
          </w:p>
        </w:tc>
        <w:tc>
          <w:tcPr>
            <w:tcW w:w="3400" w:type="dxa"/>
            <w:vAlign w:val="bottom"/>
            <w:gridSpan w:val="4"/>
            <w:shd w:val="clear" w:color="auto" w:fill="CCEEFF"/>
          </w:tcPr>
          <w:p>
            <w:pPr>
              <w:ind w:left="100"/>
              <w:spacing w:after="0" w:line="146" w:lineRule="exact"/>
              <w:rPr>
                <w:sz w:val="20"/>
                <w:szCs w:val="20"/>
                <w:color w:val="auto"/>
              </w:rPr>
            </w:pPr>
            <w:r>
              <w:rPr>
                <w:rFonts w:ascii="Arial" w:cs="Arial" w:eastAsia="Arial" w:hAnsi="Arial"/>
                <w:sz w:val="14"/>
                <w:szCs w:val="14"/>
                <w:color w:val="auto"/>
              </w:rPr>
              <w:t>53,022 Preferred Stock Warrants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gridSpan w:val="2"/>
          </w:tcPr>
          <w:p>
            <w:pPr>
              <w:spacing w:after="0" w:line="159" w:lineRule="exact"/>
              <w:rPr>
                <w:sz w:val="20"/>
                <w:szCs w:val="20"/>
                <w:color w:val="auto"/>
              </w:rPr>
            </w:pPr>
            <w:r>
              <w:rPr>
                <w:rFonts w:ascii="Arial" w:cs="Arial" w:eastAsia="Arial" w:hAnsi="Arial"/>
                <w:sz w:val="14"/>
                <w:szCs w:val="14"/>
                <w:color w:val="auto"/>
              </w:rPr>
              <w:t>Tigo Energy, Inc. (2)(12)</w:t>
            </w:r>
          </w:p>
        </w:tc>
        <w:tc>
          <w:tcPr>
            <w:tcW w:w="2280" w:type="dxa"/>
            <w:vAlign w:val="bottom"/>
          </w:tcPr>
          <w:p>
            <w:pPr>
              <w:spacing w:after="0" w:line="159" w:lineRule="exact"/>
              <w:rPr>
                <w:sz w:val="20"/>
                <w:szCs w:val="20"/>
                <w:color w:val="auto"/>
              </w:rPr>
            </w:pPr>
            <w:r>
              <w:rPr>
                <w:rFonts w:ascii="Arial" w:cs="Arial" w:eastAsia="Arial" w:hAnsi="Arial"/>
                <w:sz w:val="14"/>
                <w:szCs w:val="14"/>
                <w:color w:val="auto"/>
              </w:rPr>
              <w:t>Energy Efficiency</w:t>
            </w:r>
          </w:p>
        </w:tc>
        <w:tc>
          <w:tcPr>
            <w:tcW w:w="580" w:type="dxa"/>
            <w:vAlign w:val="bottom"/>
            <w:gridSpan w:val="2"/>
          </w:tcPr>
          <w:p>
            <w:pPr>
              <w:ind w:left="100"/>
              <w:spacing w:after="0" w:line="159" w:lineRule="exact"/>
              <w:rPr>
                <w:sz w:val="20"/>
                <w:szCs w:val="20"/>
                <w:color w:val="auto"/>
              </w:rPr>
            </w:pPr>
            <w:r>
              <w:rPr>
                <w:rFonts w:ascii="Arial" w:cs="Arial" w:eastAsia="Arial" w:hAnsi="Arial"/>
                <w:sz w:val="14"/>
                <w:szCs w:val="14"/>
                <w:color w:val="auto"/>
                <w:w w:val="90"/>
              </w:rPr>
              <w:t>804,604</w:t>
            </w:r>
          </w:p>
        </w:tc>
        <w:tc>
          <w:tcPr>
            <w:tcW w:w="28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tcBorders>
              <w:top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color w:val="auto"/>
              </w:rPr>
              <w:t>Total Non-Affiliate Warrants — Cleantech</w:t>
            </w:r>
          </w:p>
        </w:tc>
        <w:tc>
          <w:tcPr>
            <w:tcW w:w="2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2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168</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112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8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Non-Affiliate Warrants — Healthcare information and services — 0.5% (8)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LifePrint Group, Inc. (2)(12)</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Diagnostics</w:t>
            </w:r>
          </w:p>
        </w:tc>
        <w:tc>
          <w:tcPr>
            <w:tcW w:w="3400" w:type="dxa"/>
            <w:vAlign w:val="bottom"/>
            <w:gridSpan w:val="4"/>
            <w:shd w:val="clear" w:color="auto" w:fill="CCEEFF"/>
          </w:tcPr>
          <w:p>
            <w:pPr>
              <w:ind w:left="100"/>
              <w:spacing w:after="0" w:line="146" w:lineRule="exact"/>
              <w:rPr>
                <w:sz w:val="20"/>
                <w:szCs w:val="20"/>
                <w:color w:val="auto"/>
              </w:rPr>
            </w:pPr>
            <w:r>
              <w:rPr>
                <w:rFonts w:ascii="Arial" w:cs="Arial" w:eastAsia="Arial" w:hAnsi="Arial"/>
                <w:sz w:val="14"/>
                <w:szCs w:val="14"/>
                <w:color w:val="auto"/>
              </w:rPr>
              <w:t>49,000 Preferred Stock Warrants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ProterixBio, Inc. (2)(12)</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Diagnostics</w:t>
            </w:r>
          </w:p>
        </w:tc>
        <w:tc>
          <w:tcPr>
            <w:tcW w:w="3400" w:type="dxa"/>
            <w:vAlign w:val="bottom"/>
            <w:gridSpan w:val="4"/>
          </w:tcPr>
          <w:p>
            <w:pPr>
              <w:ind w:left="100"/>
              <w:spacing w:after="0" w:line="146" w:lineRule="exact"/>
              <w:rPr>
                <w:sz w:val="20"/>
                <w:szCs w:val="20"/>
                <w:color w:val="auto"/>
              </w:rPr>
            </w:pPr>
            <w:r>
              <w:rPr>
                <w:rFonts w:ascii="Arial" w:cs="Arial" w:eastAsia="Arial" w:hAnsi="Arial"/>
                <w:sz w:val="14"/>
                <w:szCs w:val="14"/>
                <w:color w:val="auto"/>
              </w:rPr>
              <w:t>2,676 Common Stock Warrants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42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Singulex, Inc. (12)</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Other Healthcare</w:t>
            </w:r>
          </w:p>
        </w:tc>
        <w:tc>
          <w:tcPr>
            <w:tcW w:w="58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w w:val="90"/>
              </w:rPr>
              <w:t>294,231</w:t>
            </w:r>
          </w:p>
        </w:tc>
        <w:tc>
          <w:tcPr>
            <w:tcW w:w="282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4"/>
                <w:szCs w:val="14"/>
                <w:color w:val="auto"/>
              </w:rPr>
              <w:t>Preferred Stock Warrants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Verity Solutions Group, Inc. (12)</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Other Healthcare</w:t>
            </w:r>
          </w:p>
        </w:tc>
        <w:tc>
          <w:tcPr>
            <w:tcW w:w="580" w:type="dxa"/>
            <w:vAlign w:val="bottom"/>
            <w:gridSpan w:val="2"/>
          </w:tcPr>
          <w:p>
            <w:pPr>
              <w:ind w:left="100"/>
              <w:spacing w:after="0" w:line="146" w:lineRule="exact"/>
              <w:rPr>
                <w:sz w:val="20"/>
                <w:szCs w:val="20"/>
                <w:color w:val="auto"/>
              </w:rPr>
            </w:pPr>
            <w:r>
              <w:rPr>
                <w:rFonts w:ascii="Arial" w:cs="Arial" w:eastAsia="Arial" w:hAnsi="Arial"/>
                <w:sz w:val="14"/>
                <w:szCs w:val="14"/>
                <w:color w:val="auto"/>
                <w:w w:val="90"/>
              </w:rPr>
              <w:t>300,360</w:t>
            </w:r>
          </w:p>
        </w:tc>
        <w:tc>
          <w:tcPr>
            <w:tcW w:w="282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Watermark Medical, Inc. (2)(12)</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Other Healthcare</w:t>
            </w:r>
          </w:p>
        </w:tc>
        <w:tc>
          <w:tcPr>
            <w:tcW w:w="3400" w:type="dxa"/>
            <w:vAlign w:val="bottom"/>
            <w:gridSpan w:val="4"/>
            <w:shd w:val="clear" w:color="auto" w:fill="CCEEFF"/>
          </w:tcPr>
          <w:p>
            <w:pPr>
              <w:ind w:left="100"/>
              <w:spacing w:after="0" w:line="146" w:lineRule="exact"/>
              <w:rPr>
                <w:sz w:val="20"/>
                <w:szCs w:val="20"/>
                <w:color w:val="auto"/>
              </w:rPr>
            </w:pPr>
            <w:r>
              <w:rPr>
                <w:rFonts w:ascii="Arial" w:cs="Arial" w:eastAsia="Arial" w:hAnsi="Arial"/>
                <w:sz w:val="14"/>
                <w:szCs w:val="14"/>
                <w:color w:val="auto"/>
              </w:rPr>
              <w:t>27,373 Preferred Stock Warrants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HealthEdge Software, Inc. (2)(12)</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580" w:type="dxa"/>
            <w:vAlign w:val="bottom"/>
            <w:gridSpan w:val="2"/>
          </w:tcPr>
          <w:p>
            <w:pPr>
              <w:ind w:left="100"/>
              <w:spacing w:after="0" w:line="146" w:lineRule="exact"/>
              <w:rPr>
                <w:sz w:val="20"/>
                <w:szCs w:val="20"/>
                <w:color w:val="auto"/>
              </w:rPr>
            </w:pPr>
            <w:r>
              <w:rPr>
                <w:rFonts w:ascii="Arial" w:cs="Arial" w:eastAsia="Arial" w:hAnsi="Arial"/>
                <w:sz w:val="14"/>
                <w:szCs w:val="14"/>
                <w:color w:val="auto"/>
                <w:w w:val="90"/>
              </w:rPr>
              <w:t>205,481</w:t>
            </w:r>
          </w:p>
        </w:tc>
        <w:tc>
          <w:tcPr>
            <w:tcW w:w="282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Preferred Stock Warrants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83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Medsphere Systems Corporation (2)(12)</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4"/>
            <w:shd w:val="clear" w:color="auto" w:fill="CCEEFF"/>
          </w:tcPr>
          <w:p>
            <w:pPr>
              <w:ind w:left="100"/>
              <w:spacing w:after="0" w:line="146" w:lineRule="exact"/>
              <w:rPr>
                <w:sz w:val="20"/>
                <w:szCs w:val="20"/>
                <w:color w:val="auto"/>
              </w:rPr>
            </w:pPr>
            <w:r>
              <w:rPr>
                <w:rFonts w:ascii="Arial" w:cs="Arial" w:eastAsia="Arial" w:hAnsi="Arial"/>
                <w:sz w:val="14"/>
                <w:szCs w:val="14"/>
                <w:color w:val="auto"/>
              </w:rPr>
              <w:t>7,097,792 Preferred Stock Warrants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60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Borders>
              <w:bottom w:val="single" w:sz="8" w:color="CCEEFF"/>
            </w:tcBorders>
            <w:gridSpan w:val="2"/>
          </w:tcPr>
          <w:p>
            <w:pPr>
              <w:spacing w:after="0" w:line="159" w:lineRule="exact"/>
              <w:rPr>
                <w:sz w:val="20"/>
                <w:szCs w:val="20"/>
                <w:color w:val="auto"/>
              </w:rPr>
            </w:pPr>
            <w:r>
              <w:rPr>
                <w:rFonts w:ascii="Arial" w:cs="Arial" w:eastAsia="Arial" w:hAnsi="Arial"/>
                <w:sz w:val="14"/>
                <w:szCs w:val="14"/>
                <w:color w:val="auto"/>
              </w:rPr>
              <w:t>Recondo Technology, Inc. (2)(12)</w:t>
            </w:r>
          </w:p>
        </w:tc>
        <w:tc>
          <w:tcPr>
            <w:tcW w:w="22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Software</w:t>
            </w:r>
          </w:p>
        </w:tc>
        <w:tc>
          <w:tcPr>
            <w:tcW w:w="580" w:type="dxa"/>
            <w:vAlign w:val="bottom"/>
            <w:tcBorders>
              <w:bottom w:val="single" w:sz="8" w:color="CCEEFF"/>
            </w:tcBorders>
            <w:gridSpan w:val="2"/>
          </w:tcPr>
          <w:p>
            <w:pPr>
              <w:ind w:left="100"/>
              <w:spacing w:after="0" w:line="159" w:lineRule="exact"/>
              <w:rPr>
                <w:sz w:val="20"/>
                <w:szCs w:val="20"/>
                <w:color w:val="auto"/>
              </w:rPr>
            </w:pPr>
            <w:r>
              <w:rPr>
                <w:rFonts w:ascii="Arial" w:cs="Arial" w:eastAsia="Arial" w:hAnsi="Arial"/>
                <w:sz w:val="14"/>
                <w:szCs w:val="14"/>
                <w:color w:val="auto"/>
                <w:w w:val="90"/>
              </w:rPr>
              <w:t>556,796</w:t>
            </w:r>
          </w:p>
        </w:tc>
        <w:tc>
          <w:tcPr>
            <w:tcW w:w="2820" w:type="dxa"/>
            <w:vAlign w:val="bottom"/>
            <w:tcBorders>
              <w:bottom w:val="single" w:sz="8" w:color="CCEEFF"/>
            </w:tcBorders>
            <w:gridSpan w:val="2"/>
          </w:tcPr>
          <w:p>
            <w:pPr>
              <w:ind w:left="20"/>
              <w:spacing w:after="0" w:line="159" w:lineRule="exact"/>
              <w:rPr>
                <w:sz w:val="20"/>
                <w:szCs w:val="20"/>
                <w:color w:val="auto"/>
              </w:rPr>
            </w:pPr>
            <w:r>
              <w:rPr>
                <w:rFonts w:ascii="Arial" w:cs="Arial" w:eastAsia="Arial" w:hAnsi="Arial"/>
                <w:sz w:val="14"/>
                <w:szCs w:val="14"/>
                <w:color w:val="auto"/>
              </w:rPr>
              <w:t>Preferred Stock Warrants</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95</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212</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Total Non-Affiliate Warrants — Healthcare information and services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527</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669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tcBorders>
              <w:bottom w:val="single" w:sz="8" w:color="CCEEFF"/>
            </w:tcBorders>
            <w:gridSpan w:val="2"/>
          </w:tcPr>
          <w:p>
            <w:pPr>
              <w:spacing w:after="0" w:line="139" w:lineRule="exact"/>
              <w:rPr>
                <w:sz w:val="20"/>
                <w:szCs w:val="20"/>
                <w:color w:val="auto"/>
              </w:rPr>
            </w:pPr>
            <w:r>
              <w:rPr>
                <w:rFonts w:ascii="Arial" w:cs="Arial" w:eastAsia="Arial" w:hAnsi="Arial"/>
                <w:sz w:val="14"/>
                <w:szCs w:val="14"/>
                <w:b w:val="1"/>
                <w:bCs w:val="1"/>
                <w:color w:val="auto"/>
              </w:rPr>
              <w:t>Total Non-Affiliate Warrants</w:t>
            </w:r>
          </w:p>
        </w:tc>
        <w:tc>
          <w:tcPr>
            <w:tcW w:w="2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6,986</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9,324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w w:val="94"/>
              </w:rPr>
              <w:t>Non-Affiliate Other Investments — 5.7% (8)</w:t>
            </w: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Espero Pharmaceuticals, Inc. (12)</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4"/>
            <w:shd w:val="clear" w:color="auto" w:fill="CCEEFF"/>
          </w:tcPr>
          <w:p>
            <w:pPr>
              <w:ind w:left="100"/>
              <w:spacing w:after="0" w:line="146" w:lineRule="exact"/>
              <w:rPr>
                <w:sz w:val="20"/>
                <w:szCs w:val="20"/>
                <w:color w:val="auto"/>
              </w:rPr>
            </w:pPr>
            <w:r>
              <w:rPr>
                <w:rFonts w:ascii="Arial" w:cs="Arial" w:eastAsia="Arial" w:hAnsi="Arial"/>
                <w:sz w:val="14"/>
                <w:szCs w:val="14"/>
                <w:color w:val="auto"/>
              </w:rPr>
              <w:t>Royalty Agreement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5,300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4,700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ZetrOZ, Inc. (12)</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Medical Device</w:t>
            </w:r>
          </w:p>
        </w:tc>
        <w:tc>
          <w:tcPr>
            <w:tcW w:w="3400" w:type="dxa"/>
            <w:vAlign w:val="bottom"/>
            <w:gridSpan w:val="4"/>
          </w:tcPr>
          <w:p>
            <w:pPr>
              <w:ind w:left="100"/>
              <w:spacing w:after="0" w:line="146" w:lineRule="exact"/>
              <w:rPr>
                <w:sz w:val="20"/>
                <w:szCs w:val="20"/>
                <w:color w:val="auto"/>
              </w:rPr>
            </w:pPr>
            <w:r>
              <w:rPr>
                <w:rFonts w:ascii="Arial" w:cs="Arial" w:eastAsia="Arial" w:hAnsi="Arial"/>
                <w:sz w:val="14"/>
                <w:szCs w:val="14"/>
                <w:color w:val="auto"/>
              </w:rPr>
              <w:t>Royalty Agreement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142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700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Vette Technology, LLC (12)</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Data Storage</w:t>
            </w:r>
          </w:p>
        </w:tc>
        <w:tc>
          <w:tcPr>
            <w:tcW w:w="3400" w:type="dxa"/>
            <w:vAlign w:val="bottom"/>
            <w:gridSpan w:val="4"/>
            <w:shd w:val="clear" w:color="auto" w:fill="CCEEFF"/>
          </w:tcPr>
          <w:p>
            <w:pPr>
              <w:ind w:left="100"/>
              <w:spacing w:after="0" w:line="146" w:lineRule="exact"/>
              <w:rPr>
                <w:sz w:val="20"/>
                <w:szCs w:val="20"/>
                <w:color w:val="auto"/>
              </w:rPr>
            </w:pPr>
            <w:r>
              <w:rPr>
                <w:rFonts w:ascii="Arial" w:cs="Arial" w:eastAsia="Arial" w:hAnsi="Arial"/>
                <w:sz w:val="14"/>
                <w:szCs w:val="14"/>
                <w:color w:val="auto"/>
              </w:rPr>
              <w:t>Royalty Agreement Due 4/18/2019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4,173</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gridSpan w:val="2"/>
          </w:tcPr>
          <w:p>
            <w:pPr>
              <w:spacing w:after="0" w:line="159" w:lineRule="exact"/>
              <w:rPr>
                <w:sz w:val="20"/>
                <w:szCs w:val="20"/>
                <w:color w:val="auto"/>
              </w:rPr>
            </w:pPr>
            <w:r>
              <w:rPr>
                <w:rFonts w:ascii="Arial" w:cs="Arial" w:eastAsia="Arial" w:hAnsi="Arial"/>
                <w:sz w:val="14"/>
                <w:szCs w:val="14"/>
                <w:color w:val="auto"/>
              </w:rPr>
              <w:t>Triple Double Holdings, LLC (12)</w:t>
            </w:r>
          </w:p>
        </w:tc>
        <w:tc>
          <w:tcPr>
            <w:tcW w:w="2280" w:type="dxa"/>
            <w:vAlign w:val="bottom"/>
          </w:tcPr>
          <w:p>
            <w:pPr>
              <w:spacing w:after="0" w:line="159" w:lineRule="exact"/>
              <w:rPr>
                <w:sz w:val="20"/>
                <w:szCs w:val="20"/>
                <w:color w:val="auto"/>
              </w:rPr>
            </w:pPr>
            <w:r>
              <w:rPr>
                <w:rFonts w:ascii="Arial" w:cs="Arial" w:eastAsia="Arial" w:hAnsi="Arial"/>
                <w:sz w:val="14"/>
                <w:szCs w:val="14"/>
                <w:color w:val="auto"/>
              </w:rPr>
              <w:t>Software</w:t>
            </w:r>
          </w:p>
        </w:tc>
        <w:tc>
          <w:tcPr>
            <w:tcW w:w="3400" w:type="dxa"/>
            <w:vAlign w:val="bottom"/>
            <w:gridSpan w:val="4"/>
          </w:tcPr>
          <w:p>
            <w:pPr>
              <w:ind w:left="100"/>
              <w:spacing w:after="0" w:line="159" w:lineRule="exact"/>
              <w:rPr>
                <w:sz w:val="20"/>
                <w:szCs w:val="20"/>
                <w:color w:val="auto"/>
              </w:rPr>
            </w:pPr>
            <w:r>
              <w:rPr>
                <w:rFonts w:ascii="Arial" w:cs="Arial" w:eastAsia="Arial" w:hAnsi="Arial"/>
                <w:sz w:val="14"/>
                <w:szCs w:val="14"/>
                <w:color w:val="auto"/>
              </w:rPr>
              <w:t>License Agreement</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2,200</w:t>
            </w:r>
          </w:p>
        </w:tc>
        <w:tc>
          <w:tcPr>
            <w:tcW w:w="14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2,200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tcBorders>
              <w:top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Total Non-Affiliate Other Investments</w:t>
            </w:r>
          </w:p>
        </w:tc>
        <w:tc>
          <w:tcPr>
            <w:tcW w:w="2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2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11,815</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7,640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Non-Affiliate Equity — 0.7% (8)</w:t>
            </w: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Insmed Incorporated (5)</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4"/>
          </w:tcPr>
          <w:p>
            <w:pPr>
              <w:ind w:left="100"/>
              <w:spacing w:after="0" w:line="146" w:lineRule="exact"/>
              <w:rPr>
                <w:sz w:val="20"/>
                <w:szCs w:val="20"/>
                <w:color w:val="auto"/>
              </w:rPr>
            </w:pPr>
            <w:r>
              <w:rPr>
                <w:rFonts w:ascii="Arial" w:cs="Arial" w:eastAsia="Arial" w:hAnsi="Arial"/>
                <w:sz w:val="14"/>
                <w:szCs w:val="14"/>
                <w:color w:val="auto"/>
              </w:rPr>
              <w:t>33,208 Common Stock</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238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436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Revance Therapeutics, Inc.(5)</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4"/>
            <w:shd w:val="clear" w:color="auto" w:fill="CCEEFF"/>
          </w:tcPr>
          <w:p>
            <w:pPr>
              <w:ind w:left="100"/>
              <w:spacing w:after="0" w:line="146" w:lineRule="exact"/>
              <w:rPr>
                <w:sz w:val="20"/>
                <w:szCs w:val="20"/>
                <w:color w:val="auto"/>
              </w:rPr>
            </w:pPr>
            <w:r>
              <w:rPr>
                <w:rFonts w:ascii="Arial" w:cs="Arial" w:eastAsia="Arial" w:hAnsi="Arial"/>
                <w:sz w:val="14"/>
                <w:szCs w:val="14"/>
                <w:color w:val="auto"/>
              </w:rPr>
              <w:t>5,125 Common Stock</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Sunesis Pharmaceuticals, Inc. (5)</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4"/>
          </w:tcPr>
          <w:p>
            <w:pPr>
              <w:ind w:left="100"/>
              <w:spacing w:after="0" w:line="146" w:lineRule="exact"/>
              <w:rPr>
                <w:sz w:val="20"/>
                <w:szCs w:val="20"/>
                <w:color w:val="auto"/>
              </w:rPr>
            </w:pPr>
            <w:r>
              <w:rPr>
                <w:rFonts w:ascii="Arial" w:cs="Arial" w:eastAsia="Arial" w:hAnsi="Arial"/>
                <w:sz w:val="14"/>
                <w:szCs w:val="14"/>
                <w:color w:val="auto"/>
              </w:rPr>
              <w:t>13,082 Common Stock</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83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SnagAJob.com, Inc. (12)</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Consumer-related Technologies</w:t>
            </w:r>
          </w:p>
        </w:tc>
        <w:tc>
          <w:tcPr>
            <w:tcW w:w="3400" w:type="dxa"/>
            <w:vAlign w:val="bottom"/>
            <w:gridSpan w:val="4"/>
            <w:shd w:val="clear" w:color="auto" w:fill="CCEEFF"/>
          </w:tcPr>
          <w:p>
            <w:pPr>
              <w:ind w:left="100"/>
              <w:spacing w:after="0" w:line="146" w:lineRule="exact"/>
              <w:rPr>
                <w:sz w:val="20"/>
                <w:szCs w:val="20"/>
                <w:color w:val="auto"/>
              </w:rPr>
            </w:pPr>
            <w:r>
              <w:rPr>
                <w:rFonts w:ascii="Arial" w:cs="Arial" w:eastAsia="Arial" w:hAnsi="Arial"/>
                <w:sz w:val="14"/>
                <w:szCs w:val="14"/>
                <w:color w:val="auto"/>
              </w:rPr>
              <w:t>82,974 Common Stock</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Verve Wireless, Inc. (2)(12)</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Internet and Media</w:t>
            </w:r>
          </w:p>
        </w:tc>
        <w:tc>
          <w:tcPr>
            <w:tcW w:w="580" w:type="dxa"/>
            <w:vAlign w:val="bottom"/>
            <w:gridSpan w:val="2"/>
          </w:tcPr>
          <w:p>
            <w:pPr>
              <w:ind w:left="100"/>
              <w:spacing w:after="0" w:line="146" w:lineRule="exact"/>
              <w:rPr>
                <w:sz w:val="20"/>
                <w:szCs w:val="20"/>
                <w:color w:val="auto"/>
              </w:rPr>
            </w:pPr>
            <w:r>
              <w:rPr>
                <w:rFonts w:ascii="Arial" w:cs="Arial" w:eastAsia="Arial" w:hAnsi="Arial"/>
                <w:sz w:val="14"/>
                <w:szCs w:val="14"/>
                <w:color w:val="auto"/>
                <w:w w:val="90"/>
              </w:rPr>
              <w:t>100,598</w:t>
            </w:r>
          </w:p>
        </w:tc>
        <w:tc>
          <w:tcPr>
            <w:tcW w:w="282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Preferred Stock</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225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225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Formetrix, Inc. (2)(12)</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Materials</w:t>
            </w:r>
          </w:p>
        </w:tc>
        <w:tc>
          <w:tcPr>
            <w:tcW w:w="3400" w:type="dxa"/>
            <w:vAlign w:val="bottom"/>
            <w:gridSpan w:val="4"/>
            <w:shd w:val="clear" w:color="auto" w:fill="CCEEFF"/>
          </w:tcPr>
          <w:p>
            <w:pPr>
              <w:ind w:left="100"/>
              <w:spacing w:after="0" w:line="146" w:lineRule="exact"/>
              <w:rPr>
                <w:sz w:val="20"/>
                <w:szCs w:val="20"/>
                <w:color w:val="auto"/>
              </w:rPr>
            </w:pPr>
            <w:r>
              <w:rPr>
                <w:rFonts w:ascii="Arial" w:cs="Arial" w:eastAsia="Arial" w:hAnsi="Arial"/>
                <w:sz w:val="14"/>
                <w:szCs w:val="14"/>
                <w:color w:val="auto"/>
              </w:rPr>
              <w:t>74,286 Common Stock</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Borders>
              <w:bottom w:val="single" w:sz="8" w:color="CCEEFF"/>
            </w:tcBorders>
            <w:gridSpan w:val="2"/>
          </w:tcPr>
          <w:p>
            <w:pPr>
              <w:spacing w:after="0" w:line="159" w:lineRule="exact"/>
              <w:rPr>
                <w:sz w:val="20"/>
                <w:szCs w:val="20"/>
                <w:color w:val="auto"/>
              </w:rPr>
            </w:pPr>
            <w:r>
              <w:rPr>
                <w:rFonts w:ascii="Arial" w:cs="Arial" w:eastAsia="Arial" w:hAnsi="Arial"/>
                <w:sz w:val="14"/>
                <w:szCs w:val="14"/>
                <w:color w:val="auto"/>
              </w:rPr>
              <w:t>TruSignal, Inc. (12)</w:t>
            </w:r>
          </w:p>
        </w:tc>
        <w:tc>
          <w:tcPr>
            <w:tcW w:w="22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Software</w:t>
            </w:r>
          </w:p>
        </w:tc>
        <w:tc>
          <w:tcPr>
            <w:tcW w:w="3400" w:type="dxa"/>
            <w:vAlign w:val="bottom"/>
            <w:tcBorders>
              <w:bottom w:val="single" w:sz="8" w:color="CCEEFF"/>
            </w:tcBorders>
            <w:gridSpan w:val="4"/>
          </w:tcPr>
          <w:p>
            <w:pPr>
              <w:ind w:left="100"/>
              <w:spacing w:after="0" w:line="159" w:lineRule="exact"/>
              <w:rPr>
                <w:sz w:val="20"/>
                <w:szCs w:val="20"/>
                <w:color w:val="auto"/>
              </w:rPr>
            </w:pPr>
            <w:r>
              <w:rPr>
                <w:rFonts w:ascii="Arial" w:cs="Arial" w:eastAsia="Arial" w:hAnsi="Arial"/>
                <w:sz w:val="14"/>
                <w:szCs w:val="14"/>
                <w:color w:val="auto"/>
              </w:rPr>
              <w:t>32,637 Common Stock</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41</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Total Non-Affiliate Equity</w:t>
            </w: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743</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967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80" w:type="dxa"/>
            <w:vAlign w:val="bottom"/>
            <w:tcBorders>
              <w:bottom w:val="single" w:sz="8" w:color="CCEEFF"/>
            </w:tcBorders>
            <w:gridSpan w:val="3"/>
          </w:tcPr>
          <w:p>
            <w:pPr>
              <w:spacing w:after="0" w:line="153" w:lineRule="exact"/>
              <w:rPr>
                <w:sz w:val="20"/>
                <w:szCs w:val="20"/>
                <w:color w:val="auto"/>
              </w:rPr>
            </w:pPr>
            <w:r>
              <w:rPr>
                <w:rFonts w:ascii="Arial" w:cs="Arial" w:eastAsia="Arial" w:hAnsi="Arial"/>
                <w:sz w:val="14"/>
                <w:szCs w:val="14"/>
                <w:b w:val="1"/>
                <w:bCs w:val="1"/>
                <w:color w:val="auto"/>
              </w:rPr>
              <w:t>Total Non-Affiliate Portfolio Investment Assets</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229,772</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227,624</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2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98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rPr>
              <w:t>Non-controlled Affiliate Investments — 5.6% (8)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80" w:type="dxa"/>
            <w:vAlign w:val="bottom"/>
            <w:gridSpan w:val="3"/>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Non-controlled Affiliate Debt Investments — Technology — 5.0% (8)</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700" w:type="dxa"/>
            <w:vAlign w:val="bottom"/>
            <w:gridSpan w:val="2"/>
          </w:tcPr>
          <w:p>
            <w:pPr>
              <w:spacing w:after="0" w:line="127" w:lineRule="exact"/>
              <w:rPr>
                <w:sz w:val="20"/>
                <w:szCs w:val="20"/>
                <w:color w:val="auto"/>
              </w:rPr>
            </w:pPr>
            <w:r>
              <w:rPr>
                <w:rFonts w:ascii="Arial" w:cs="Arial" w:eastAsia="Arial" w:hAnsi="Arial"/>
                <w:sz w:val="14"/>
                <w:szCs w:val="14"/>
                <w:color w:val="auto"/>
              </w:rPr>
              <w:t>Decisyon, Inc. (12)</w:t>
            </w:r>
          </w:p>
        </w:tc>
        <w:tc>
          <w:tcPr>
            <w:tcW w:w="2280" w:type="dxa"/>
            <w:vAlign w:val="bottom"/>
          </w:tcPr>
          <w:p>
            <w:pPr>
              <w:spacing w:after="0" w:line="127" w:lineRule="exact"/>
              <w:rPr>
                <w:sz w:val="20"/>
                <w:szCs w:val="20"/>
                <w:color w:val="auto"/>
              </w:rPr>
            </w:pPr>
            <w:r>
              <w:rPr>
                <w:rFonts w:ascii="Arial" w:cs="Arial" w:eastAsia="Arial" w:hAnsi="Arial"/>
                <w:sz w:val="14"/>
                <w:szCs w:val="14"/>
                <w:color w:val="auto"/>
              </w:rPr>
              <w:t>Software</w:t>
            </w:r>
          </w:p>
        </w:tc>
        <w:tc>
          <w:tcPr>
            <w:tcW w:w="3400" w:type="dxa"/>
            <w:vAlign w:val="bottom"/>
            <w:gridSpan w:val="4"/>
          </w:tcPr>
          <w:p>
            <w:pPr>
              <w:ind w:left="100"/>
              <w:spacing w:after="0" w:line="127" w:lineRule="exact"/>
              <w:rPr>
                <w:sz w:val="20"/>
                <w:szCs w:val="20"/>
                <w:color w:val="auto"/>
              </w:rPr>
            </w:pPr>
            <w:r>
              <w:rPr>
                <w:rFonts w:ascii="Arial" w:cs="Arial" w:eastAsia="Arial" w:hAnsi="Arial"/>
                <w:sz w:val="14"/>
                <w:szCs w:val="14"/>
                <w:color w:val="auto"/>
              </w:rPr>
              <w:t>Term Loan (14.658% cash (Libor + 12.308%; Floor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1,523</w:t>
            </w:r>
          </w:p>
        </w:tc>
        <w:tc>
          <w:tcPr>
            <w:tcW w:w="160" w:type="dxa"/>
            <w:vAlign w:val="bottom"/>
          </w:tcPr>
          <w:p>
            <w:pPr>
              <w:spacing w:after="0" w:line="127"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1,522</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1,464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0" w:type="dxa"/>
            <w:vAlign w:val="bottom"/>
            <w:gridSpan w:val="4"/>
          </w:tcPr>
          <w:p>
            <w:pPr>
              <w:ind w:left="100"/>
              <w:spacing w:after="0" w:line="146" w:lineRule="exact"/>
              <w:rPr>
                <w:sz w:val="20"/>
                <w:szCs w:val="20"/>
                <w:color w:val="auto"/>
              </w:rPr>
            </w:pPr>
            <w:r>
              <w:rPr>
                <w:rFonts w:ascii="Arial" w:cs="Arial" w:eastAsia="Arial" w:hAnsi="Arial"/>
                <w:sz w:val="14"/>
                <w:szCs w:val="14"/>
                <w:color w:val="auto"/>
              </w:rPr>
              <w:t>12.50%), 8.00% ETP, Due 12/1/20)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0" w:type="dxa"/>
            <w:vAlign w:val="bottom"/>
            <w:gridSpan w:val="4"/>
          </w:tcPr>
          <w:p>
            <w:pPr>
              <w:ind w:left="100"/>
              <w:spacing w:after="0" w:line="146" w:lineRule="exact"/>
              <w:rPr>
                <w:sz w:val="20"/>
                <w:szCs w:val="20"/>
                <w:color w:val="auto"/>
              </w:rPr>
            </w:pPr>
            <w:r>
              <w:rPr>
                <w:rFonts w:ascii="Arial" w:cs="Arial" w:eastAsia="Arial" w:hAnsi="Arial"/>
                <w:sz w:val="14"/>
                <w:szCs w:val="14"/>
                <w:color w:val="auto"/>
              </w:rPr>
              <w:t>Term Loan (14.658% cash (Libor + 12.308%; Floor</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833</w:t>
            </w: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795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764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0" w:type="dxa"/>
            <w:vAlign w:val="bottom"/>
            <w:gridSpan w:val="4"/>
          </w:tcPr>
          <w:p>
            <w:pPr>
              <w:ind w:left="100"/>
              <w:spacing w:after="0" w:line="146" w:lineRule="exact"/>
              <w:rPr>
                <w:sz w:val="20"/>
                <w:szCs w:val="20"/>
                <w:color w:val="auto"/>
              </w:rPr>
            </w:pPr>
            <w:r>
              <w:rPr>
                <w:rFonts w:ascii="Arial" w:cs="Arial" w:eastAsia="Arial" w:hAnsi="Arial"/>
                <w:sz w:val="14"/>
                <w:szCs w:val="14"/>
                <w:color w:val="auto"/>
              </w:rPr>
              <w:t>12.50%), 8.00% ETP, Due 12/1/20)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0" w:type="dxa"/>
            <w:vAlign w:val="bottom"/>
            <w:gridSpan w:val="4"/>
          </w:tcPr>
          <w:p>
            <w:pPr>
              <w:ind w:left="100"/>
              <w:spacing w:after="0" w:line="146" w:lineRule="exact"/>
              <w:rPr>
                <w:sz w:val="20"/>
                <w:szCs w:val="20"/>
                <w:color w:val="auto"/>
              </w:rPr>
            </w:pPr>
            <w:r>
              <w:rPr>
                <w:rFonts w:ascii="Arial" w:cs="Arial" w:eastAsia="Arial" w:hAnsi="Arial"/>
                <w:sz w:val="14"/>
                <w:szCs w:val="14"/>
                <w:color w:val="auto"/>
              </w:rPr>
              <w:t>Term Loan (12.02% cash, Due 12/31/19)</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250</w:t>
            </w: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250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0" w:type="dxa"/>
            <w:vAlign w:val="bottom"/>
            <w:gridSpan w:val="4"/>
          </w:tcPr>
          <w:p>
            <w:pPr>
              <w:ind w:left="100"/>
              <w:spacing w:after="0" w:line="146" w:lineRule="exact"/>
              <w:rPr>
                <w:sz w:val="20"/>
                <w:szCs w:val="20"/>
                <w:color w:val="auto"/>
              </w:rPr>
            </w:pPr>
            <w:r>
              <w:rPr>
                <w:rFonts w:ascii="Arial" w:cs="Arial" w:eastAsia="Arial" w:hAnsi="Arial"/>
                <w:sz w:val="14"/>
                <w:szCs w:val="14"/>
                <w:color w:val="auto"/>
              </w:rPr>
              <w:t>Term Loan (12.03% cash, Due 12/31/19)</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250</w:t>
            </w: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250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0" w:type="dxa"/>
            <w:vAlign w:val="bottom"/>
            <w:gridSpan w:val="4"/>
          </w:tcPr>
          <w:p>
            <w:pPr>
              <w:ind w:left="100"/>
              <w:spacing w:after="0" w:line="146" w:lineRule="exact"/>
              <w:rPr>
                <w:sz w:val="20"/>
                <w:szCs w:val="20"/>
                <w:color w:val="auto"/>
              </w:rPr>
            </w:pPr>
            <w:r>
              <w:rPr>
                <w:rFonts w:ascii="Arial" w:cs="Arial" w:eastAsia="Arial" w:hAnsi="Arial"/>
                <w:sz w:val="14"/>
                <w:szCs w:val="14"/>
                <w:color w:val="auto"/>
              </w:rPr>
              <w:t>Term Loan (12.24% cash, Due 12/31/19)</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750</w:t>
            </w: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750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721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0" w:type="dxa"/>
            <w:vAlign w:val="bottom"/>
            <w:gridSpan w:val="4"/>
          </w:tcPr>
          <w:p>
            <w:pPr>
              <w:ind w:left="100"/>
              <w:spacing w:after="0" w:line="146" w:lineRule="exact"/>
              <w:rPr>
                <w:sz w:val="20"/>
                <w:szCs w:val="20"/>
                <w:color w:val="auto"/>
              </w:rPr>
            </w:pPr>
            <w:r>
              <w:rPr>
                <w:rFonts w:ascii="Arial" w:cs="Arial" w:eastAsia="Arial" w:hAnsi="Arial"/>
                <w:sz w:val="14"/>
                <w:szCs w:val="14"/>
                <w:color w:val="auto"/>
              </w:rPr>
              <w:t>Term Loan (13.08% cash, Due 12/31/19)</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300</w:t>
            </w: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300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289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00" w:type="dxa"/>
            <w:vAlign w:val="bottom"/>
            <w:gridSpan w:val="4"/>
          </w:tcPr>
          <w:p>
            <w:pPr>
              <w:ind w:left="100"/>
              <w:spacing w:after="0"/>
              <w:rPr>
                <w:sz w:val="20"/>
                <w:szCs w:val="20"/>
                <w:color w:val="auto"/>
              </w:rPr>
            </w:pPr>
            <w:r>
              <w:rPr>
                <w:rFonts w:ascii="Arial" w:cs="Arial" w:eastAsia="Arial" w:hAnsi="Arial"/>
                <w:sz w:val="14"/>
                <w:szCs w:val="14"/>
                <w:color w:val="auto"/>
              </w:rPr>
              <w:t>Term Loan (13.10% cash, Due 12/31/19)</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200</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 of</w:t>
            </w:r>
          </w:p>
        </w:tc>
        <w:tc>
          <w:tcPr>
            <w:tcW w:w="140" w:type="dxa"/>
            <w:vAlign w:val="bottom"/>
          </w:tcPr>
          <w:p>
            <w:pPr>
              <w:spacing w:after="0"/>
              <w:rPr>
                <w:sz w:val="14"/>
                <w:szCs w:val="14"/>
                <w:color w:val="auto"/>
              </w:rPr>
            </w:pPr>
          </w:p>
        </w:tc>
        <w:tc>
          <w:tcPr>
            <w:tcW w:w="7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8"/>
        </w:trPr>
        <w:tc>
          <w:tcPr>
            <w:tcW w:w="272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(1)(3)</w:t>
            </w:r>
          </w:p>
        </w:tc>
        <w:tc>
          <w:tcPr>
            <w:tcW w:w="140" w:type="dxa"/>
            <w:vAlign w:val="bottom"/>
          </w:tcPr>
          <w:p>
            <w:pPr>
              <w:spacing w:after="0"/>
              <w:rPr>
                <w:sz w:val="14"/>
                <w:szCs w:val="14"/>
                <w:color w:val="auto"/>
              </w:rPr>
            </w:pPr>
          </w:p>
        </w:tc>
        <w:tc>
          <w:tcPr>
            <w:tcW w:w="2140" w:type="dxa"/>
            <w:vAlign w:val="bottom"/>
          </w:tcPr>
          <w:p>
            <w:pPr>
              <w:ind w:left="80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3300" w:type="dxa"/>
            <w:vAlign w:val="bottom"/>
            <w:gridSpan w:val="2"/>
          </w:tcPr>
          <w:p>
            <w:pPr>
              <w:ind w:left="640"/>
              <w:spacing w:after="0"/>
              <w:rPr>
                <w:sz w:val="20"/>
                <w:szCs w:val="20"/>
                <w:color w:val="auto"/>
              </w:rPr>
            </w:pPr>
            <w:r>
              <w:rPr>
                <w:rFonts w:ascii="Arial" w:cs="Arial" w:eastAsia="Arial" w:hAnsi="Arial"/>
                <w:sz w:val="14"/>
                <w:szCs w:val="14"/>
                <w:b w:val="1"/>
                <w:bCs w:val="1"/>
                <w:color w:val="auto"/>
              </w:rPr>
              <w:t>Type of Investment (4)(7)(9)(10)</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Investments (6)</w:t>
            </w:r>
          </w:p>
        </w:tc>
        <w:tc>
          <w:tcPr>
            <w:tcW w:w="140" w:type="dxa"/>
            <w:vAlign w:val="bottom"/>
          </w:tcPr>
          <w:p>
            <w:pPr>
              <w:spacing w:after="0"/>
              <w:rPr>
                <w:sz w:val="14"/>
                <w:szCs w:val="14"/>
                <w:color w:val="auto"/>
              </w:rPr>
            </w:pPr>
          </w:p>
        </w:tc>
        <w:tc>
          <w:tcPr>
            <w:tcW w:w="7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StereoVision Imaging, Inc. (12)</w:t>
            </w:r>
          </w:p>
        </w:tc>
        <w:tc>
          <w:tcPr>
            <w:tcW w:w="100" w:type="dxa"/>
            <w:vAlign w:val="bottom"/>
            <w:tcBorders>
              <w:top w:val="single" w:sz="8" w:color="CCEEFF"/>
            </w:tcBorders>
            <w:shd w:val="clear" w:color="auto" w:fill="CCEEFF"/>
          </w:tcPr>
          <w:p>
            <w:pPr>
              <w:spacing w:after="0"/>
              <w:rPr>
                <w:sz w:val="10"/>
                <w:szCs w:val="10"/>
                <w:color w:val="auto"/>
              </w:rPr>
            </w:pPr>
          </w:p>
        </w:tc>
        <w:tc>
          <w:tcPr>
            <w:tcW w:w="2280" w:type="dxa"/>
            <w:vAlign w:val="bottom"/>
            <w:tcBorders>
              <w:top w:val="single" w:sz="8" w:color="auto"/>
            </w:tcBorders>
            <w:gridSpan w:val="2"/>
            <w:shd w:val="clear" w:color="auto" w:fill="CCEEFF"/>
          </w:tcPr>
          <w:p>
            <w:pPr>
              <w:spacing w:after="0" w:line="121" w:lineRule="exact"/>
              <w:rPr>
                <w:sz w:val="20"/>
                <w:szCs w:val="20"/>
                <w:color w:val="auto"/>
              </w:rPr>
            </w:pPr>
            <w:r>
              <w:rPr>
                <w:rFonts w:ascii="Arial" w:cs="Arial" w:eastAsia="Arial" w:hAnsi="Arial"/>
                <w:sz w:val="13"/>
                <w:szCs w:val="13"/>
                <w:color w:val="auto"/>
              </w:rPr>
              <w:t>Software</w:t>
            </w:r>
          </w:p>
        </w:tc>
        <w:tc>
          <w:tcPr>
            <w:tcW w:w="100" w:type="dxa"/>
            <w:vAlign w:val="bottom"/>
            <w:tcBorders>
              <w:top w:val="single" w:sz="8" w:color="CCEEFF"/>
            </w:tcBorders>
            <w:shd w:val="clear" w:color="auto" w:fill="CCEEFF"/>
          </w:tcPr>
          <w:p>
            <w:pPr>
              <w:spacing w:after="0"/>
              <w:rPr>
                <w:sz w:val="10"/>
                <w:szCs w:val="10"/>
                <w:color w:val="auto"/>
              </w:rPr>
            </w:pPr>
          </w:p>
        </w:tc>
        <w:tc>
          <w:tcPr>
            <w:tcW w:w="320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Term Loan (9.38% Cash (Libor + 7.03%; Floor</w:t>
            </w: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3,200</w:t>
            </w: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2,798</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2,798</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8.50%), 8.50% ETP, Due 9/1/21) (11)</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0" w:type="dxa"/>
            <w:vAlign w:val="bottom"/>
            <w:tcBorders>
              <w:bottom w:val="single" w:sz="8" w:color="CCEEFF"/>
            </w:tcBorders>
          </w:tcPr>
          <w:p>
            <w:pPr>
              <w:spacing w:after="0" w:line="139" w:lineRule="exact"/>
              <w:rPr>
                <w:sz w:val="20"/>
                <w:szCs w:val="20"/>
                <w:color w:val="auto"/>
              </w:rPr>
            </w:pPr>
            <w:r>
              <w:rPr>
                <w:rFonts w:ascii="Arial" w:cs="Arial" w:eastAsia="Arial" w:hAnsi="Arial"/>
                <w:sz w:val="14"/>
                <w:szCs w:val="14"/>
                <w:color w:val="auto"/>
                <w:w w:val="89"/>
              </w:rPr>
              <w:t>Total Non-controlled Affiliate Debt Investments</w:t>
            </w:r>
          </w:p>
        </w:tc>
        <w:tc>
          <w:tcPr>
            <w:tcW w:w="2380" w:type="dxa"/>
            <w:vAlign w:val="bottom"/>
            <w:tcBorders>
              <w:bottom w:val="single" w:sz="8" w:color="CCEEFF"/>
            </w:tcBorders>
            <w:gridSpan w:val="3"/>
          </w:tcPr>
          <w:p>
            <w:pPr>
              <w:ind w:left="140"/>
              <w:spacing w:after="0" w:line="139" w:lineRule="exact"/>
              <w:rPr>
                <w:sz w:val="20"/>
                <w:szCs w:val="20"/>
                <w:color w:val="auto"/>
              </w:rPr>
            </w:pPr>
            <w:r>
              <w:rPr>
                <w:rFonts w:ascii="Arial" w:cs="Arial" w:eastAsia="Arial" w:hAnsi="Arial"/>
                <w:sz w:val="14"/>
                <w:szCs w:val="14"/>
                <w:color w:val="auto"/>
              </w:rPr>
              <w:t>— Technology</w:t>
            </w:r>
          </w:p>
        </w:tc>
        <w:tc>
          <w:tcPr>
            <w:tcW w:w="10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6,865</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6,708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980" w:type="dxa"/>
            <w:vAlign w:val="bottom"/>
            <w:gridSpan w:val="4"/>
          </w:tcPr>
          <w:p>
            <w:pPr>
              <w:spacing w:after="0" w:line="146" w:lineRule="exact"/>
              <w:rPr>
                <w:sz w:val="20"/>
                <w:szCs w:val="20"/>
                <w:color w:val="auto"/>
              </w:rPr>
            </w:pPr>
            <w:r>
              <w:rPr>
                <w:rFonts w:ascii="Arial" w:cs="Arial" w:eastAsia="Arial" w:hAnsi="Arial"/>
                <w:sz w:val="14"/>
                <w:szCs w:val="14"/>
                <w:b w:val="1"/>
                <w:bCs w:val="1"/>
                <w:color w:val="auto"/>
              </w:rPr>
              <w:t>Non-controlled Affiliate Warrants — Technology — 0.0% (8)</w:t>
            </w: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Decisyon, Inc. (12)</w:t>
            </w:r>
          </w:p>
        </w:tc>
        <w:tc>
          <w:tcPr>
            <w:tcW w:w="22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Software</w:t>
            </w:r>
          </w:p>
        </w:tc>
        <w:tc>
          <w:tcPr>
            <w:tcW w:w="340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82,967 Common Stock Warrants</w:t>
            </w: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80" w:type="dxa"/>
            <w:vAlign w:val="bottom"/>
            <w:tcBorders>
              <w:bottom w:val="single" w:sz="8" w:color="CCEEFF"/>
            </w:tcBorders>
            <w:gridSpan w:val="4"/>
          </w:tcPr>
          <w:p>
            <w:pPr>
              <w:spacing w:after="0" w:line="139" w:lineRule="exact"/>
              <w:rPr>
                <w:sz w:val="20"/>
                <w:szCs w:val="20"/>
                <w:color w:val="auto"/>
              </w:rPr>
            </w:pPr>
            <w:r>
              <w:rPr>
                <w:rFonts w:ascii="Arial" w:cs="Arial" w:eastAsia="Arial" w:hAnsi="Arial"/>
                <w:sz w:val="14"/>
                <w:szCs w:val="14"/>
                <w:color w:val="auto"/>
              </w:rPr>
              <w:t>Total Non-controlled Affiliate Warrants — Technology</w:t>
            </w:r>
          </w:p>
        </w:tc>
        <w:tc>
          <w:tcPr>
            <w:tcW w:w="10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46</w:t>
            </w: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980" w:type="dxa"/>
            <w:vAlign w:val="bottom"/>
            <w:gridSpan w:val="4"/>
          </w:tcPr>
          <w:p>
            <w:pPr>
              <w:spacing w:after="0" w:line="146" w:lineRule="exact"/>
              <w:rPr>
                <w:sz w:val="20"/>
                <w:szCs w:val="20"/>
                <w:color w:val="auto"/>
              </w:rPr>
            </w:pPr>
            <w:r>
              <w:rPr>
                <w:rFonts w:ascii="Arial" w:cs="Arial" w:eastAsia="Arial" w:hAnsi="Arial"/>
                <w:sz w:val="14"/>
                <w:szCs w:val="14"/>
                <w:b w:val="1"/>
                <w:bCs w:val="1"/>
                <w:color w:val="auto"/>
              </w:rPr>
              <w:t>Non-controlled Affiliate Equity — Technology — 0.6% (8)</w:t>
            </w: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Decisyon, Inc. (12)</w:t>
            </w:r>
          </w:p>
        </w:tc>
        <w:tc>
          <w:tcPr>
            <w:tcW w:w="228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45,365,936 Common Stock</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185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Borders>
              <w:bottom w:val="single" w:sz="8" w:color="CCEEFF"/>
            </w:tcBorders>
            <w:gridSpan w:val="2"/>
          </w:tcPr>
          <w:p>
            <w:pPr>
              <w:spacing w:after="0" w:line="159" w:lineRule="exact"/>
              <w:rPr>
                <w:sz w:val="20"/>
                <w:szCs w:val="20"/>
                <w:color w:val="auto"/>
              </w:rPr>
            </w:pPr>
            <w:r>
              <w:rPr>
                <w:rFonts w:ascii="Arial" w:cs="Arial" w:eastAsia="Arial" w:hAnsi="Arial"/>
                <w:sz w:val="14"/>
                <w:szCs w:val="14"/>
                <w:color w:val="auto"/>
              </w:rPr>
              <w:t>StereoVision Imaging, Inc. (12)</w:t>
            </w:r>
          </w:p>
        </w:tc>
        <w:tc>
          <w:tcPr>
            <w:tcW w:w="2280" w:type="dxa"/>
            <w:vAlign w:val="bottom"/>
            <w:tcBorders>
              <w:bottom w:val="single" w:sz="8" w:color="CCEEFF"/>
            </w:tcBorders>
            <w:gridSpan w:val="2"/>
          </w:tcPr>
          <w:p>
            <w:pPr>
              <w:spacing w:after="0" w:line="159" w:lineRule="exact"/>
              <w:rPr>
                <w:sz w:val="20"/>
                <w:szCs w:val="20"/>
                <w:color w:val="auto"/>
              </w:rPr>
            </w:pPr>
            <w:r>
              <w:rPr>
                <w:rFonts w:ascii="Arial" w:cs="Arial" w:eastAsia="Arial" w:hAnsi="Arial"/>
                <w:sz w:val="14"/>
                <w:szCs w:val="14"/>
                <w:color w:val="auto"/>
              </w:rPr>
              <w:t>Software</w:t>
            </w:r>
          </w:p>
        </w:tc>
        <w:tc>
          <w:tcPr>
            <w:tcW w:w="3400" w:type="dxa"/>
            <w:vAlign w:val="bottom"/>
            <w:tcBorders>
              <w:bottom w:val="single" w:sz="8" w:color="CCEEFF"/>
            </w:tcBorders>
            <w:gridSpan w:val="3"/>
          </w:tcPr>
          <w:p>
            <w:pPr>
              <w:ind w:left="100"/>
              <w:spacing w:after="0" w:line="159" w:lineRule="exact"/>
              <w:rPr>
                <w:sz w:val="20"/>
                <w:szCs w:val="20"/>
                <w:color w:val="auto"/>
              </w:rPr>
            </w:pPr>
            <w:r>
              <w:rPr>
                <w:rFonts w:ascii="Arial" w:cs="Arial" w:eastAsia="Arial" w:hAnsi="Arial"/>
                <w:sz w:val="14"/>
                <w:szCs w:val="14"/>
                <w:color w:val="auto"/>
              </w:rPr>
              <w:t>1,943,572 Common Stock</w:t>
            </w:r>
          </w:p>
        </w:tc>
        <w:tc>
          <w:tcPr>
            <w:tcW w:w="7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791</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791</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Total Non-controlled Affiliate Equity</w:t>
            </w:r>
          </w:p>
        </w:tc>
        <w:tc>
          <w:tcPr>
            <w:tcW w:w="1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976</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866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80" w:type="dxa"/>
            <w:vAlign w:val="bottom"/>
            <w:tcBorders>
              <w:bottom w:val="single" w:sz="8" w:color="CCEEFF"/>
            </w:tcBorders>
            <w:gridSpan w:val="4"/>
          </w:tcPr>
          <w:p>
            <w:pPr>
              <w:spacing w:after="0" w:line="139" w:lineRule="exact"/>
              <w:rPr>
                <w:sz w:val="20"/>
                <w:szCs w:val="20"/>
                <w:color w:val="auto"/>
              </w:rPr>
            </w:pPr>
            <w:r>
              <w:rPr>
                <w:rFonts w:ascii="Arial" w:cs="Arial" w:eastAsia="Arial" w:hAnsi="Arial"/>
                <w:sz w:val="14"/>
                <w:szCs w:val="14"/>
                <w:b w:val="1"/>
                <w:bCs w:val="1"/>
                <w:color w:val="auto"/>
              </w:rPr>
              <w:t>Total Non-controlled Affiliate Portfolio Investment Assets</w:t>
            </w:r>
          </w:p>
        </w:tc>
        <w:tc>
          <w:tcPr>
            <w:tcW w:w="10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line="13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7,887</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7,574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w w:val="93"/>
              </w:rPr>
              <w:t>Controlled Affiliate Investments — 9.9% (8)</w:t>
            </w:r>
          </w:p>
        </w:tc>
        <w:tc>
          <w:tcPr>
            <w:tcW w:w="1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80" w:type="dxa"/>
            <w:vAlign w:val="bottom"/>
            <w:gridSpan w:val="4"/>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Controlled Affiliate Equity — Financial — 9.9% (8)</w:t>
            </w: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gridSpan w:val="2"/>
          </w:tcPr>
          <w:p>
            <w:pPr>
              <w:spacing w:after="0" w:line="159" w:lineRule="exact"/>
              <w:rPr>
                <w:sz w:val="20"/>
                <w:szCs w:val="20"/>
                <w:color w:val="auto"/>
              </w:rPr>
            </w:pPr>
            <w:r>
              <w:rPr>
                <w:rFonts w:ascii="Arial" w:cs="Arial" w:eastAsia="Arial" w:hAnsi="Arial"/>
                <w:sz w:val="14"/>
                <w:szCs w:val="14"/>
                <w:color w:val="auto"/>
              </w:rPr>
              <w:t>Horizon Secured Loan Fund I LLC (12)(14)</w:t>
            </w:r>
          </w:p>
        </w:tc>
        <w:tc>
          <w:tcPr>
            <w:tcW w:w="2280" w:type="dxa"/>
            <w:vAlign w:val="bottom"/>
            <w:gridSpan w:val="2"/>
          </w:tcPr>
          <w:p>
            <w:pPr>
              <w:spacing w:after="0" w:line="159" w:lineRule="exact"/>
              <w:rPr>
                <w:sz w:val="20"/>
                <w:szCs w:val="20"/>
                <w:color w:val="auto"/>
              </w:rPr>
            </w:pPr>
            <w:r>
              <w:rPr>
                <w:rFonts w:ascii="Arial" w:cs="Arial" w:eastAsia="Arial" w:hAnsi="Arial"/>
                <w:sz w:val="14"/>
                <w:szCs w:val="14"/>
                <w:color w:val="auto"/>
              </w:rPr>
              <w:t>Investment funds</w:t>
            </w:r>
          </w:p>
        </w:tc>
        <w:tc>
          <w:tcPr>
            <w:tcW w:w="1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13,262</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13,243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tcBorders>
              <w:top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Total Controlled Affiliate Equity</w:t>
            </w:r>
          </w:p>
        </w:tc>
        <w:tc>
          <w:tcPr>
            <w:tcW w:w="140" w:type="dxa"/>
            <w:vAlign w:val="bottom"/>
            <w:tcBorders>
              <w:top w:val="single" w:sz="8" w:color="CCEEFF"/>
            </w:tcBorders>
            <w:shd w:val="clear" w:color="auto" w:fill="CCEEFF"/>
          </w:tcPr>
          <w:p>
            <w:pPr>
              <w:spacing w:after="0"/>
              <w:rPr>
                <w:sz w:val="12"/>
                <w:szCs w:val="12"/>
                <w:color w:val="auto"/>
              </w:rPr>
            </w:pPr>
          </w:p>
        </w:tc>
        <w:tc>
          <w:tcPr>
            <w:tcW w:w="2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13,262</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13,243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80" w:type="dxa"/>
            <w:vAlign w:val="bottom"/>
            <w:tcBorders>
              <w:bottom w:val="single" w:sz="8" w:color="CCEEFF"/>
            </w:tcBorders>
            <w:gridSpan w:val="4"/>
          </w:tcPr>
          <w:p>
            <w:pPr>
              <w:spacing w:after="0" w:line="153" w:lineRule="exact"/>
              <w:rPr>
                <w:sz w:val="20"/>
                <w:szCs w:val="20"/>
                <w:color w:val="auto"/>
              </w:rPr>
            </w:pPr>
            <w:r>
              <w:rPr>
                <w:rFonts w:ascii="Arial" w:cs="Arial" w:eastAsia="Arial" w:hAnsi="Arial"/>
                <w:sz w:val="14"/>
                <w:szCs w:val="14"/>
                <w:b w:val="1"/>
                <w:bCs w:val="1"/>
                <w:color w:val="auto"/>
              </w:rPr>
              <w:t>Total Controlled Affiliate Portfolio Investment Assets</w:t>
            </w:r>
          </w:p>
        </w:tc>
        <w:tc>
          <w:tcPr>
            <w:tcW w:w="10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13,262</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13,243</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2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980" w:type="dxa"/>
            <w:vAlign w:val="bottom"/>
            <w:gridSpan w:val="4"/>
          </w:tcPr>
          <w:p>
            <w:pPr>
              <w:spacing w:after="0"/>
              <w:rPr>
                <w:sz w:val="20"/>
                <w:szCs w:val="20"/>
                <w:color w:val="auto"/>
              </w:rPr>
            </w:pPr>
            <w:r>
              <w:rPr>
                <w:rFonts w:ascii="Arial" w:cs="Arial" w:eastAsia="Arial" w:hAnsi="Arial"/>
                <w:sz w:val="14"/>
                <w:szCs w:val="14"/>
                <w:b w:val="1"/>
                <w:bCs w:val="1"/>
                <w:color w:val="auto"/>
              </w:rPr>
              <w:t>Total Portfolio Investment Assets — 185.1%(8)</w:t>
            </w: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250,921</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248,441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380" w:hanging="374"/>
        <w:spacing w:after="0" w:line="265"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investments of the Company are in entities which are organized under the laws of the United States and have a principal place of business in the United States.</w:t>
      </w:r>
    </w:p>
    <w:p>
      <w:pPr>
        <w:spacing w:after="0" w:line="179" w:lineRule="exact"/>
        <w:rPr>
          <w:rFonts w:ascii="Arial" w:cs="Arial" w:eastAsia="Arial" w:hAnsi="Arial"/>
          <w:sz w:val="18"/>
          <w:szCs w:val="18"/>
          <w:color w:val="auto"/>
        </w:rPr>
      </w:pPr>
    </w:p>
    <w:p>
      <w:pPr>
        <w:ind w:left="380" w:hanging="374"/>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Has been pledged as collateral under the revolving credit facility with KeyBank National Association (the “Key Facility”).</w:t>
      </w:r>
    </w:p>
    <w:p>
      <w:pPr>
        <w:spacing w:after="0" w:line="217" w:lineRule="exact"/>
        <w:rPr>
          <w:rFonts w:ascii="Arial" w:cs="Arial" w:eastAsia="Arial" w:hAnsi="Arial"/>
          <w:sz w:val="18"/>
          <w:szCs w:val="18"/>
          <w:color w:val="auto"/>
        </w:rPr>
      </w:pPr>
    </w:p>
    <w:p>
      <w:pPr>
        <w:jc w:val="both"/>
        <w:ind w:left="380" w:hanging="374"/>
        <w:spacing w:after="0" w:line="250"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spacing w:after="0" w:line="194" w:lineRule="exact"/>
        <w:rPr>
          <w:rFonts w:ascii="Arial" w:cs="Arial" w:eastAsia="Arial" w:hAnsi="Arial"/>
          <w:sz w:val="18"/>
          <w:szCs w:val="18"/>
          <w:color w:val="auto"/>
        </w:rPr>
      </w:pPr>
    </w:p>
    <w:p>
      <w:pPr>
        <w:jc w:val="both"/>
        <w:ind w:left="380" w:hanging="374"/>
        <w:spacing w:after="0" w:line="250"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the Company’s debt investments. Interest rate is the annual interest rate on the debt investment and does not include end-of-term payments (“ETPs”), and any additional fees related to the investments, such as deferred interest, commitment fees or prepayment fees. Debt investments are at variable rates for the term of the debt investment, unless otherwise indicated. All debt investments based on the London InterBank Offered Rate (“LIBOR”) are based on one-month LIBOR. For each debt investment, the current interest rate in effect as of December 31, 2018 is provided.</w:t>
      </w:r>
    </w:p>
    <w:p>
      <w:pPr>
        <w:spacing w:after="0" w:line="194" w:lineRule="exact"/>
        <w:rPr>
          <w:rFonts w:ascii="Arial" w:cs="Arial" w:eastAsia="Arial" w:hAnsi="Arial"/>
          <w:sz w:val="18"/>
          <w:szCs w:val="18"/>
          <w:color w:val="auto"/>
        </w:rPr>
      </w:pPr>
    </w:p>
    <w:p>
      <w:pPr>
        <w:ind w:left="380" w:hanging="374"/>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17" w:lineRule="exact"/>
        <w:rPr>
          <w:rFonts w:ascii="Arial" w:cs="Arial" w:eastAsia="Arial" w:hAnsi="Arial"/>
          <w:sz w:val="18"/>
          <w:szCs w:val="18"/>
          <w:color w:val="auto"/>
        </w:rPr>
      </w:pPr>
    </w:p>
    <w:p>
      <w:pPr>
        <w:ind w:left="380" w:hanging="374"/>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17" w:lineRule="exact"/>
        <w:rPr>
          <w:rFonts w:ascii="Arial" w:cs="Arial" w:eastAsia="Arial" w:hAnsi="Arial"/>
          <w:sz w:val="18"/>
          <w:szCs w:val="18"/>
          <w:color w:val="auto"/>
        </w:rPr>
      </w:pPr>
    </w:p>
    <w:p>
      <w:pPr>
        <w:ind w:left="380" w:hanging="374"/>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Warrants, Equity and Other Investments are non-income producing.</w:t>
      </w:r>
    </w:p>
    <w:p>
      <w:pPr>
        <w:spacing w:after="0" w:line="217" w:lineRule="exact"/>
        <w:rPr>
          <w:rFonts w:ascii="Arial" w:cs="Arial" w:eastAsia="Arial" w:hAnsi="Arial"/>
          <w:sz w:val="18"/>
          <w:szCs w:val="18"/>
          <w:color w:val="auto"/>
        </w:rPr>
      </w:pPr>
    </w:p>
    <w:p>
      <w:pPr>
        <w:ind w:left="380" w:hanging="374"/>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Value as a percent of net assets.</w:t>
      </w:r>
    </w:p>
    <w:p>
      <w:pPr>
        <w:spacing w:after="0" w:line="217" w:lineRule="exact"/>
        <w:rPr>
          <w:rFonts w:ascii="Arial" w:cs="Arial" w:eastAsia="Arial" w:hAnsi="Arial"/>
          <w:sz w:val="18"/>
          <w:szCs w:val="18"/>
          <w:color w:val="auto"/>
        </w:rPr>
      </w:pPr>
    </w:p>
    <w:p>
      <w:pPr>
        <w:jc w:val="both"/>
        <w:ind w:left="380" w:hanging="374"/>
        <w:spacing w:after="0" w:line="255"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December 31, 2018, 5.0% of the Company’s total investments on a cost and fair value basis are in non-qualifying assets. Under the Investment Company Act of 1940, as amended (the “1940 Act”), the Company may not acquire any non-qualifying assets unless, at the time the acquisition is made, qualifying assets represent at least 70% of the Company’s total assets.</w:t>
      </w:r>
    </w:p>
    <w:p>
      <w:pPr>
        <w:spacing w:after="0" w:line="188" w:lineRule="exact"/>
        <w:rPr>
          <w:rFonts w:ascii="Arial" w:cs="Arial" w:eastAsia="Arial" w:hAnsi="Arial"/>
          <w:sz w:val="18"/>
          <w:szCs w:val="18"/>
          <w:color w:val="auto"/>
        </w:rPr>
      </w:pPr>
    </w:p>
    <w:p>
      <w:pPr>
        <w:jc w:val="both"/>
        <w:ind w:left="380" w:hanging="374"/>
        <w:spacing w:after="0" w:line="252"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91" w:lineRule="exact"/>
        <w:rPr>
          <w:rFonts w:ascii="Arial" w:cs="Arial" w:eastAsia="Arial" w:hAnsi="Arial"/>
          <w:sz w:val="18"/>
          <w:szCs w:val="18"/>
          <w:color w:val="auto"/>
        </w:rPr>
      </w:pPr>
    </w:p>
    <w:p>
      <w:pPr>
        <w:ind w:left="380" w:hanging="374"/>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Debt investment has a payment-in-kind (“PIK”) feature.</w:t>
      </w:r>
    </w:p>
    <w:p>
      <w:pPr>
        <w:spacing w:after="0" w:line="217" w:lineRule="exact"/>
        <w:rPr>
          <w:rFonts w:ascii="Arial" w:cs="Arial" w:eastAsia="Arial" w:hAnsi="Arial"/>
          <w:sz w:val="18"/>
          <w:szCs w:val="18"/>
          <w:color w:val="auto"/>
        </w:rPr>
      </w:pPr>
    </w:p>
    <w:p>
      <w:pPr>
        <w:ind w:left="380" w:hanging="374"/>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17" w:lineRule="exact"/>
        <w:rPr>
          <w:rFonts w:ascii="Arial" w:cs="Arial" w:eastAsia="Arial" w:hAnsi="Arial"/>
          <w:sz w:val="18"/>
          <w:szCs w:val="18"/>
          <w:color w:val="auto"/>
        </w:rPr>
      </w:pPr>
    </w:p>
    <w:p>
      <w:pPr>
        <w:ind w:left="380" w:hanging="374"/>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17" w:lineRule="exact"/>
        <w:rPr>
          <w:rFonts w:ascii="Arial" w:cs="Arial" w:eastAsia="Arial" w:hAnsi="Arial"/>
          <w:sz w:val="18"/>
          <w:szCs w:val="18"/>
          <w:color w:val="auto"/>
        </w:rPr>
      </w:pPr>
    </w:p>
    <w:p>
      <w:pPr>
        <w:jc w:val="both"/>
        <w:ind w:left="380" w:hanging="374"/>
        <w:spacing w:after="0" w:line="269" w:lineRule="auto"/>
        <w:tabs>
          <w:tab w:leader="none" w:pos="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 June 1, 2018, the Company entered into an agreement with Arena Sunset SPV, LLC (“Arena”) to co-invest through Horizon Secured Loan Fund I (“HSLFI”), a joint venture, which is expected to make investments, either directly or indirectly through subsidiaries, primarily in the form of secured loans to development-stage companies in the technology, life science, healthcare information and services and cleantech industries. All HSLFI investment decisions require unanimous approval of a quorum of HSLFI’s board of managers. Although the Company owns more than 25% of the voting securities of HSLFI, the Company does not believe it controls HSLFI for purposes of the 1940 Act or otherwise.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917" w:right="239" w:bottom="0" w:gutter="0" w:footer="0" w:header="0"/>
        </w:sectPr>
      </w:pPr>
    </w:p>
    <w:bookmarkStart w:id="91" w:name="page92"/>
    <w:bookmarkEnd w:id="91"/>
    <w:p>
      <w:pPr>
        <w:jc w:val="center"/>
        <w:ind w:right="-20"/>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40640</wp:posOffset>
            </wp:positionV>
            <wp:extent cx="7249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 of</w:t>
            </w:r>
          </w:p>
        </w:tc>
        <w:tc>
          <w:tcPr>
            <w:tcW w:w="1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8"/>
        </w:trPr>
        <w:tc>
          <w:tcPr>
            <w:tcW w:w="262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2380" w:type="dxa"/>
            <w:vAlign w:val="bottom"/>
          </w:tcPr>
          <w:p>
            <w:pPr>
              <w:ind w:left="104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3200" w:type="dxa"/>
            <w:vAlign w:val="bottom"/>
          </w:tcPr>
          <w:p>
            <w:pPr>
              <w:ind w:left="640"/>
              <w:spacing w:after="0"/>
              <w:rPr>
                <w:sz w:val="20"/>
                <w:szCs w:val="20"/>
                <w:color w:val="auto"/>
              </w:rPr>
            </w:pPr>
            <w:r>
              <w:rPr>
                <w:rFonts w:ascii="Arial" w:cs="Arial" w:eastAsia="Arial" w:hAnsi="Arial"/>
                <w:sz w:val="14"/>
                <w:szCs w:val="14"/>
                <w:b w:val="1"/>
                <w:bCs w:val="1"/>
                <w:color w:val="auto"/>
              </w:rPr>
              <w:t>Type of Investment (4)(7)(9)(10)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Amount</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Investments (6)</w:t>
            </w:r>
          </w:p>
        </w:tc>
        <w:tc>
          <w:tcPr>
            <w:tcW w:w="1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39"/>
        </w:trPr>
        <w:tc>
          <w:tcPr>
            <w:tcW w:w="262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Non-Affiliate Investments — 161.8% (8)</w:t>
            </w:r>
          </w:p>
        </w:tc>
        <w:tc>
          <w:tcPr>
            <w:tcW w:w="2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0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Non-Affiliate Debt Investments — 148.4% (8)</w:t>
            </w: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Non-Affiliate Debt Investments — Life Science — 43.0% (8)</w:t>
            </w: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4"/>
                <w:szCs w:val="14"/>
                <w:color w:val="auto"/>
              </w:rPr>
              <w:t>Palatin Technologies, Inc. (2)(5)(14)</w:t>
            </w:r>
          </w:p>
        </w:tc>
        <w:tc>
          <w:tcPr>
            <w:tcW w:w="2380" w:type="dxa"/>
            <w:vAlign w:val="bottom"/>
          </w:tcPr>
          <w:p>
            <w:pPr>
              <w:ind w:left="100"/>
              <w:spacing w:after="0" w:line="127" w:lineRule="exact"/>
              <w:rPr>
                <w:sz w:val="20"/>
                <w:szCs w:val="20"/>
                <w:color w:val="auto"/>
              </w:rPr>
            </w:pPr>
            <w:r>
              <w:rPr>
                <w:rFonts w:ascii="Arial" w:cs="Arial" w:eastAsia="Arial" w:hAnsi="Arial"/>
                <w:sz w:val="14"/>
                <w:szCs w:val="14"/>
                <w:color w:val="auto"/>
              </w:rPr>
              <w:t>Biotechnology</w:t>
            </w:r>
          </w:p>
        </w:tc>
        <w:tc>
          <w:tcPr>
            <w:tcW w:w="3300" w:type="dxa"/>
            <w:vAlign w:val="bottom"/>
            <w:gridSpan w:val="2"/>
          </w:tcPr>
          <w:p>
            <w:pPr>
              <w:ind w:left="100"/>
              <w:spacing w:after="0" w:line="127" w:lineRule="exact"/>
              <w:rPr>
                <w:sz w:val="20"/>
                <w:szCs w:val="20"/>
                <w:color w:val="auto"/>
              </w:rPr>
            </w:pPr>
            <w:r>
              <w:rPr>
                <w:rFonts w:ascii="Arial" w:cs="Arial" w:eastAsia="Arial" w:hAnsi="Arial"/>
                <w:sz w:val="14"/>
                <w:szCs w:val="14"/>
                <w:color w:val="auto"/>
              </w:rPr>
              <w:t>Term Loan (9.87% cash (Libor + 8.50%; Floor</w:t>
            </w:r>
          </w:p>
        </w:tc>
        <w:tc>
          <w:tcPr>
            <w:tcW w:w="200" w:type="dxa"/>
            <w:vAlign w:val="bottom"/>
            <w:gridSpan w:val="2"/>
          </w:tcPr>
          <w:p>
            <w:pPr>
              <w:jc w:val="right"/>
              <w:ind w:right="40"/>
              <w:spacing w:after="0" w:line="12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2,000</w:t>
            </w:r>
          </w:p>
        </w:tc>
        <w:tc>
          <w:tcPr>
            <w:tcW w:w="160" w:type="dxa"/>
            <w:vAlign w:val="bottom"/>
          </w:tcPr>
          <w:p>
            <w:pPr>
              <w:spacing w:after="0" w:line="127"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1,980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1,980</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9.00%), 5.00% ETP, Due 1/1/19)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Term Loan (9.87% cash (Libor + 8.50%; Floor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3,167</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3,139</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3,139</w:t>
            </w:r>
          </w:p>
        </w:tc>
        <w:tc>
          <w:tcPr>
            <w:tcW w:w="0" w:type="dxa"/>
            <w:vAlign w:val="bottom"/>
          </w:tcPr>
          <w:p>
            <w:pPr>
              <w:spacing w:after="0"/>
              <w:rPr>
                <w:sz w:val="1"/>
                <w:szCs w:val="1"/>
                <w:color w:val="auto"/>
              </w:rPr>
            </w:pPr>
          </w:p>
        </w:tc>
      </w:tr>
      <w:tr>
        <w:trPr>
          <w:trHeight w:val="164"/>
        </w:trPr>
        <w:tc>
          <w:tcPr>
            <w:tcW w:w="26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00" w:type="dxa"/>
            <w:vAlign w:val="bottom"/>
            <w:gridSpan w:val="2"/>
          </w:tcPr>
          <w:p>
            <w:pPr>
              <w:ind w:left="100"/>
              <w:spacing w:after="0"/>
              <w:rPr>
                <w:sz w:val="20"/>
                <w:szCs w:val="20"/>
                <w:color w:val="auto"/>
              </w:rPr>
            </w:pPr>
            <w:r>
              <w:rPr>
                <w:rFonts w:ascii="Arial" w:cs="Arial" w:eastAsia="Arial" w:hAnsi="Arial"/>
                <w:sz w:val="14"/>
                <w:szCs w:val="14"/>
                <w:color w:val="auto"/>
              </w:rPr>
              <w:t>9.00%), 5.00% ETP, Due 8/1/19)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vTv Therapeutics Inc. (2)(5)(14)</w:t>
            </w:r>
          </w:p>
        </w:tc>
        <w:tc>
          <w:tcPr>
            <w:tcW w:w="2380" w:type="dxa"/>
            <w:vAlign w:val="bottom"/>
            <w:shd w:val="clear" w:color="auto" w:fill="CCEEFF"/>
          </w:tcPr>
          <w:p>
            <w:pPr>
              <w:ind w:left="100"/>
              <w:spacing w:after="0" w:line="127" w:lineRule="exact"/>
              <w:rPr>
                <w:sz w:val="20"/>
                <w:szCs w:val="20"/>
                <w:color w:val="auto"/>
              </w:rPr>
            </w:pPr>
            <w:r>
              <w:rPr>
                <w:rFonts w:ascii="Arial" w:cs="Arial" w:eastAsia="Arial" w:hAnsi="Arial"/>
                <w:sz w:val="14"/>
                <w:szCs w:val="14"/>
                <w:color w:val="auto"/>
              </w:rPr>
              <w:t>Biotechnology</w:t>
            </w:r>
          </w:p>
        </w:tc>
        <w:tc>
          <w:tcPr>
            <w:tcW w:w="3300" w:type="dxa"/>
            <w:vAlign w:val="bottom"/>
            <w:gridSpan w:val="2"/>
            <w:shd w:val="clear" w:color="auto" w:fill="CCEEFF"/>
          </w:tcPr>
          <w:p>
            <w:pPr>
              <w:ind w:left="100"/>
              <w:spacing w:after="0" w:line="127" w:lineRule="exact"/>
              <w:rPr>
                <w:sz w:val="20"/>
                <w:szCs w:val="20"/>
                <w:color w:val="auto"/>
              </w:rPr>
            </w:pPr>
            <w:r>
              <w:rPr>
                <w:rFonts w:ascii="Arial" w:cs="Arial" w:eastAsia="Arial" w:hAnsi="Arial"/>
                <w:sz w:val="14"/>
                <w:szCs w:val="14"/>
                <w:color w:val="auto"/>
              </w:rPr>
              <w:t>Term Loan (11.37% cash (Libor + 10.00%; Floor</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6,250</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6,196</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6,196</w:t>
            </w: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10.50%), 6.00% ETP, Due 5/1/20)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(11.37% cash (Libor + 10.00%;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3,750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3,700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3,700</w:t>
            </w: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10.50%), 6.00% ETP, Due 10/1/20)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line="127" w:lineRule="exact"/>
              <w:rPr>
                <w:sz w:val="20"/>
                <w:szCs w:val="20"/>
                <w:color w:val="auto"/>
              </w:rPr>
            </w:pPr>
            <w:r>
              <w:rPr>
                <w:rFonts w:ascii="Arial" w:cs="Arial" w:eastAsia="Arial" w:hAnsi="Arial"/>
                <w:sz w:val="14"/>
                <w:szCs w:val="14"/>
                <w:color w:val="auto"/>
              </w:rPr>
              <w:t>Titan Pharmaceuticals, Inc. (2)(5)(14)</w:t>
            </w:r>
          </w:p>
        </w:tc>
        <w:tc>
          <w:tcPr>
            <w:tcW w:w="2380" w:type="dxa"/>
            <w:vAlign w:val="bottom"/>
          </w:tcPr>
          <w:p>
            <w:pPr>
              <w:ind w:left="100"/>
              <w:spacing w:after="0" w:line="127" w:lineRule="exact"/>
              <w:rPr>
                <w:sz w:val="20"/>
                <w:szCs w:val="20"/>
                <w:color w:val="auto"/>
              </w:rPr>
            </w:pPr>
            <w:r>
              <w:rPr>
                <w:rFonts w:ascii="Arial" w:cs="Arial" w:eastAsia="Arial" w:hAnsi="Arial"/>
                <w:sz w:val="14"/>
                <w:szCs w:val="14"/>
                <w:color w:val="auto"/>
              </w:rPr>
              <w:t>Drug Delivery</w:t>
            </w:r>
          </w:p>
        </w:tc>
        <w:tc>
          <w:tcPr>
            <w:tcW w:w="3300" w:type="dxa"/>
            <w:vAlign w:val="bottom"/>
            <w:gridSpan w:val="2"/>
          </w:tcPr>
          <w:p>
            <w:pPr>
              <w:ind w:left="100"/>
              <w:spacing w:after="0" w:line="127" w:lineRule="exact"/>
              <w:rPr>
                <w:sz w:val="20"/>
                <w:szCs w:val="20"/>
                <w:color w:val="auto"/>
              </w:rPr>
            </w:pPr>
            <w:r>
              <w:rPr>
                <w:rFonts w:ascii="Arial" w:cs="Arial" w:eastAsia="Arial" w:hAnsi="Arial"/>
                <w:sz w:val="14"/>
                <w:szCs w:val="14"/>
                <w:color w:val="auto"/>
              </w:rPr>
              <w:t>Term Loan (9.77% cash (Libor + 8.40%; Floor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3,500</w:t>
            </w:r>
          </w:p>
        </w:tc>
        <w:tc>
          <w:tcPr>
            <w:tcW w:w="160" w:type="dxa"/>
            <w:vAlign w:val="bottom"/>
          </w:tcPr>
          <w:p>
            <w:pPr>
              <w:spacing w:after="0"/>
              <w:rPr>
                <w:sz w:val="11"/>
                <w:szCs w:val="11"/>
                <w:color w:val="auto"/>
              </w:rPr>
            </w:pPr>
          </w:p>
        </w:tc>
        <w:tc>
          <w:tcPr>
            <w:tcW w:w="98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3,400</w:t>
            </w: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3,400</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9.50%), 5.00% ETP, Due 6/1/21)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Term Loan (9.77% cash (Libor + 8.40%; Floor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3,500</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3,430</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3,430</w:t>
            </w:r>
          </w:p>
        </w:tc>
        <w:tc>
          <w:tcPr>
            <w:tcW w:w="0" w:type="dxa"/>
            <w:vAlign w:val="bottom"/>
          </w:tcPr>
          <w:p>
            <w:pPr>
              <w:spacing w:after="0"/>
              <w:rPr>
                <w:sz w:val="1"/>
                <w:szCs w:val="1"/>
                <w:color w:val="auto"/>
              </w:rPr>
            </w:pPr>
          </w:p>
        </w:tc>
      </w:tr>
      <w:tr>
        <w:trPr>
          <w:trHeight w:val="164"/>
        </w:trPr>
        <w:tc>
          <w:tcPr>
            <w:tcW w:w="26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00" w:type="dxa"/>
            <w:vAlign w:val="bottom"/>
            <w:gridSpan w:val="2"/>
          </w:tcPr>
          <w:p>
            <w:pPr>
              <w:ind w:left="100"/>
              <w:spacing w:after="0"/>
              <w:rPr>
                <w:sz w:val="20"/>
                <w:szCs w:val="20"/>
                <w:color w:val="auto"/>
              </w:rPr>
            </w:pPr>
            <w:r>
              <w:rPr>
                <w:rFonts w:ascii="Arial" w:cs="Arial" w:eastAsia="Arial" w:hAnsi="Arial"/>
                <w:sz w:val="14"/>
                <w:szCs w:val="14"/>
                <w:color w:val="auto"/>
              </w:rPr>
              <w:t>9.50%), 5.00% ETP, Due 6/1/21)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Aerin Medical, Inc. (2)(14)</w:t>
            </w:r>
          </w:p>
        </w:tc>
        <w:tc>
          <w:tcPr>
            <w:tcW w:w="2380" w:type="dxa"/>
            <w:vAlign w:val="bottom"/>
            <w:shd w:val="clear" w:color="auto" w:fill="CCEEFF"/>
          </w:tcPr>
          <w:p>
            <w:pPr>
              <w:ind w:left="100"/>
              <w:spacing w:after="0" w:line="127" w:lineRule="exact"/>
              <w:rPr>
                <w:sz w:val="20"/>
                <w:szCs w:val="20"/>
                <w:color w:val="auto"/>
              </w:rPr>
            </w:pPr>
            <w:r>
              <w:rPr>
                <w:rFonts w:ascii="Arial" w:cs="Arial" w:eastAsia="Arial" w:hAnsi="Arial"/>
                <w:sz w:val="14"/>
                <w:szCs w:val="14"/>
                <w:color w:val="auto"/>
              </w:rPr>
              <w:t>Medical Device</w:t>
            </w:r>
          </w:p>
        </w:tc>
        <w:tc>
          <w:tcPr>
            <w:tcW w:w="3300" w:type="dxa"/>
            <w:vAlign w:val="bottom"/>
            <w:gridSpan w:val="2"/>
            <w:shd w:val="clear" w:color="auto" w:fill="CCEEFF"/>
          </w:tcPr>
          <w:p>
            <w:pPr>
              <w:ind w:left="100"/>
              <w:spacing w:after="0" w:line="127" w:lineRule="exact"/>
              <w:rPr>
                <w:sz w:val="20"/>
                <w:szCs w:val="20"/>
                <w:color w:val="auto"/>
              </w:rPr>
            </w:pPr>
            <w:r>
              <w:rPr>
                <w:rFonts w:ascii="Arial" w:cs="Arial" w:eastAsia="Arial" w:hAnsi="Arial"/>
                <w:sz w:val="14"/>
                <w:szCs w:val="14"/>
                <w:color w:val="auto"/>
              </w:rPr>
              <w:t>Term Loan (8.85% cash (Libor + 7.45%; Floor</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4,000</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3,876</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3,876</w:t>
            </w: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8.75%), 4.00% ETP, Due 1/1/22)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(8.85% cash (Libor + 7.45%;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2,954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2,954</w:t>
            </w: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8.75%), 4.00% ETP, Due 1/1/22)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(8.85% cash (Libor + 7.45%;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2,954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2,954</w:t>
            </w: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8.75%), 4.00% ETP, Due 1/1/22)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20" w:type="dxa"/>
            <w:vAlign w:val="bottom"/>
          </w:tcPr>
          <w:p>
            <w:pPr>
              <w:spacing w:after="0" w:line="146" w:lineRule="exact"/>
              <w:rPr>
                <w:sz w:val="20"/>
                <w:szCs w:val="20"/>
                <w:color w:val="auto"/>
              </w:rPr>
            </w:pPr>
            <w:r>
              <w:rPr>
                <w:rFonts w:ascii="Arial" w:cs="Arial" w:eastAsia="Arial" w:hAnsi="Arial"/>
                <w:sz w:val="14"/>
                <w:szCs w:val="14"/>
                <w:color w:val="auto"/>
              </w:rPr>
              <w:t>Conventus Orthopaedics, Inc. (2)(14)</w:t>
            </w:r>
          </w:p>
        </w:tc>
        <w:tc>
          <w:tcPr>
            <w:tcW w:w="2380" w:type="dxa"/>
            <w:vAlign w:val="bottom"/>
          </w:tcPr>
          <w:p>
            <w:pPr>
              <w:ind w:left="100"/>
              <w:spacing w:after="0" w:line="146" w:lineRule="exact"/>
              <w:rPr>
                <w:sz w:val="20"/>
                <w:szCs w:val="20"/>
                <w:color w:val="auto"/>
              </w:rPr>
            </w:pPr>
            <w:r>
              <w:rPr>
                <w:rFonts w:ascii="Arial" w:cs="Arial" w:eastAsia="Arial" w:hAnsi="Arial"/>
                <w:sz w:val="14"/>
                <w:szCs w:val="14"/>
                <w:color w:val="auto"/>
              </w:rPr>
              <w:t>Medical Device</w:t>
            </w: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Term Loan (9.49% cash (Libor + 8.00%; Floor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4,000</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3,928</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3,928</w:t>
            </w: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9.25%), 6.00% ETP, Due 6/1/21)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Term Loan (9.49% cash (Libor + 8.00%; Floor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4,000</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3,928</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3,928</w:t>
            </w: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9.25%), 6.00% ETP, Due 6/1/21)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Term Loan (9.49% cash (Libor + 8.00%; Floor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4,000</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3,928</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3,928</w:t>
            </w: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3300" w:type="dxa"/>
            <w:vAlign w:val="bottom"/>
            <w:gridSpan w:val="2"/>
            <w:shd w:val="clear" w:color="auto" w:fill="CCEEFF"/>
          </w:tcPr>
          <w:p>
            <w:pPr>
              <w:ind w:left="100"/>
              <w:spacing w:after="0" w:line="127" w:lineRule="exact"/>
              <w:rPr>
                <w:sz w:val="20"/>
                <w:szCs w:val="20"/>
                <w:color w:val="auto"/>
              </w:rPr>
            </w:pPr>
            <w:r>
              <w:rPr>
                <w:rFonts w:ascii="Arial" w:cs="Arial" w:eastAsia="Arial" w:hAnsi="Arial"/>
                <w:sz w:val="14"/>
                <w:szCs w:val="14"/>
                <w:color w:val="auto"/>
              </w:rPr>
              <w:t>9.25%), 6.00% ETP, Due 6/1/21)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Lantos Technologies, Inc. (2)(14)</w:t>
            </w:r>
          </w:p>
        </w:tc>
        <w:tc>
          <w:tcPr>
            <w:tcW w:w="2380" w:type="dxa"/>
            <w:vAlign w:val="bottom"/>
            <w:shd w:val="clear" w:color="auto" w:fill="CCEEFF"/>
          </w:tcPr>
          <w:p>
            <w:pPr>
              <w:ind w:left="100"/>
              <w:spacing w:after="0" w:line="146" w:lineRule="exact"/>
              <w:rPr>
                <w:sz w:val="20"/>
                <w:szCs w:val="20"/>
                <w:color w:val="auto"/>
              </w:rPr>
            </w:pPr>
            <w:r>
              <w:rPr>
                <w:rFonts w:ascii="Arial" w:cs="Arial" w:eastAsia="Arial" w:hAnsi="Arial"/>
                <w:sz w:val="14"/>
                <w:szCs w:val="14"/>
                <w:color w:val="auto"/>
              </w:rPr>
              <w:t>Medical Device</w:t>
            </w: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(11.87% PIK (Libor + 10.50%;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2,479</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2,466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2,466</w:t>
            </w: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11.50%), 8.91% ETP, Due 5/1/19) (13)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20" w:type="dxa"/>
            <w:vAlign w:val="bottom"/>
          </w:tcPr>
          <w:p>
            <w:pPr>
              <w:spacing w:after="0" w:line="146" w:lineRule="exact"/>
              <w:rPr>
                <w:sz w:val="20"/>
                <w:szCs w:val="20"/>
                <w:color w:val="auto"/>
              </w:rPr>
            </w:pPr>
            <w:r>
              <w:rPr>
                <w:rFonts w:ascii="Arial" w:cs="Arial" w:eastAsia="Arial" w:hAnsi="Arial"/>
                <w:sz w:val="14"/>
                <w:szCs w:val="14"/>
                <w:color w:val="auto"/>
              </w:rPr>
              <w:t>Mederi Therapeutics, Inc. (2)(14)</w:t>
            </w:r>
          </w:p>
        </w:tc>
        <w:tc>
          <w:tcPr>
            <w:tcW w:w="2380" w:type="dxa"/>
            <w:vAlign w:val="bottom"/>
          </w:tcPr>
          <w:p>
            <w:pPr>
              <w:ind w:left="100"/>
              <w:spacing w:after="0" w:line="146" w:lineRule="exact"/>
              <w:rPr>
                <w:sz w:val="20"/>
                <w:szCs w:val="20"/>
                <w:color w:val="auto"/>
              </w:rPr>
            </w:pPr>
            <w:r>
              <w:rPr>
                <w:rFonts w:ascii="Arial" w:cs="Arial" w:eastAsia="Arial" w:hAnsi="Arial"/>
                <w:sz w:val="14"/>
                <w:szCs w:val="14"/>
                <w:color w:val="auto"/>
              </w:rPr>
              <w:t>Medical Device</w:t>
            </w: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Term Loan (13.01% cash (Libor + 11.82%; Floor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173</w:t>
            </w: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173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163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12.00%), 6.00% ETP, Due 12/1/17)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Term Loan (13.01% cash (Libor + 11.82%; Floor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173</w:t>
            </w: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173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163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3300" w:type="dxa"/>
            <w:vAlign w:val="bottom"/>
            <w:gridSpan w:val="2"/>
            <w:shd w:val="clear" w:color="auto" w:fill="CCEEFF"/>
          </w:tcPr>
          <w:p>
            <w:pPr>
              <w:ind w:left="100"/>
              <w:spacing w:after="0" w:line="127" w:lineRule="exact"/>
              <w:rPr>
                <w:sz w:val="20"/>
                <w:szCs w:val="20"/>
                <w:color w:val="auto"/>
              </w:rPr>
            </w:pPr>
            <w:r>
              <w:rPr>
                <w:rFonts w:ascii="Arial" w:cs="Arial" w:eastAsia="Arial" w:hAnsi="Arial"/>
                <w:sz w:val="14"/>
                <w:szCs w:val="14"/>
                <w:color w:val="auto"/>
              </w:rPr>
              <w:t>12.00%), 6.00% ETP, Due 12/1/17)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NinePoint Medical, Inc. (2)(14)</w:t>
            </w:r>
          </w:p>
        </w:tc>
        <w:tc>
          <w:tcPr>
            <w:tcW w:w="2380" w:type="dxa"/>
            <w:vAlign w:val="bottom"/>
            <w:shd w:val="clear" w:color="auto" w:fill="CCEEFF"/>
          </w:tcPr>
          <w:p>
            <w:pPr>
              <w:ind w:left="100"/>
              <w:spacing w:after="0" w:line="146" w:lineRule="exact"/>
              <w:rPr>
                <w:sz w:val="20"/>
                <w:szCs w:val="20"/>
                <w:color w:val="auto"/>
              </w:rPr>
            </w:pPr>
            <w:r>
              <w:rPr>
                <w:rFonts w:ascii="Arial" w:cs="Arial" w:eastAsia="Arial" w:hAnsi="Arial"/>
                <w:sz w:val="14"/>
                <w:szCs w:val="14"/>
                <w:color w:val="auto"/>
              </w:rPr>
              <w:t>Medical Device</w:t>
            </w: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(10.12% cash (Libor + 8.75%;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2,667</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2,645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2,645</w:t>
            </w: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9.25%), 4.50% ETP, Due 3/1/19)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(10.12% cash (Libor + 8.75%;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1,333</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1,320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9.25%), 4.50% ETP, Due 3/1/19)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20" w:type="dxa"/>
            <w:vAlign w:val="bottom"/>
          </w:tcPr>
          <w:p>
            <w:pPr>
              <w:spacing w:after="0" w:line="146" w:lineRule="exact"/>
              <w:rPr>
                <w:sz w:val="20"/>
                <w:szCs w:val="20"/>
                <w:color w:val="auto"/>
              </w:rPr>
            </w:pPr>
            <w:r>
              <w:rPr>
                <w:rFonts w:ascii="Arial" w:cs="Arial" w:eastAsia="Arial" w:hAnsi="Arial"/>
                <w:sz w:val="14"/>
                <w:szCs w:val="14"/>
                <w:color w:val="auto"/>
              </w:rPr>
              <w:t>VERO Biotech LLC (2)(14)</w:t>
            </w:r>
          </w:p>
        </w:tc>
        <w:tc>
          <w:tcPr>
            <w:tcW w:w="2380" w:type="dxa"/>
            <w:vAlign w:val="bottom"/>
          </w:tcPr>
          <w:p>
            <w:pPr>
              <w:ind w:left="100"/>
              <w:spacing w:after="0" w:line="146" w:lineRule="exact"/>
              <w:rPr>
                <w:sz w:val="20"/>
                <w:szCs w:val="20"/>
                <w:color w:val="auto"/>
              </w:rPr>
            </w:pPr>
            <w:r>
              <w:rPr>
                <w:rFonts w:ascii="Arial" w:cs="Arial" w:eastAsia="Arial" w:hAnsi="Arial"/>
                <w:sz w:val="14"/>
                <w:szCs w:val="14"/>
                <w:color w:val="auto"/>
              </w:rPr>
              <w:t>Medical Device</w:t>
            </w: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Term Loan (9.33% cash (Libor + 8.00%; Floor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4,000</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3,914</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3,914</w:t>
            </w: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9.25%), 5.00% ETP, Due 1/1/22)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Term Loan (9.33% cash (Libor + 8.00%; Floor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4,000</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3,934</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3,934</w:t>
            </w:r>
          </w:p>
        </w:tc>
        <w:tc>
          <w:tcPr>
            <w:tcW w:w="0" w:type="dxa"/>
            <w:vAlign w:val="bottom"/>
          </w:tcPr>
          <w:p>
            <w:pPr>
              <w:spacing w:after="0"/>
              <w:rPr>
                <w:sz w:val="1"/>
                <w:szCs w:val="1"/>
                <w:color w:val="auto"/>
              </w:rPr>
            </w:pPr>
          </w:p>
        </w:tc>
      </w:tr>
      <w:tr>
        <w:trPr>
          <w:trHeight w:val="159"/>
        </w:trPr>
        <w:tc>
          <w:tcPr>
            <w:tcW w:w="5000" w:type="dxa"/>
            <w:vAlign w:val="bottom"/>
            <w:tcBorders>
              <w:bottom w:val="single" w:sz="8" w:color="CCEEFF"/>
            </w:tcBorders>
            <w:gridSpan w:val="2"/>
            <w:vMerge w:val="restart"/>
            <w:shd w:val="clear" w:color="auto" w:fill="CCEEFF"/>
          </w:tcPr>
          <w:p>
            <w:pPr>
              <w:spacing w:after="0"/>
              <w:rPr>
                <w:sz w:val="20"/>
                <w:szCs w:val="20"/>
                <w:color w:val="auto"/>
              </w:rPr>
            </w:pPr>
            <w:r>
              <w:rPr>
                <w:rFonts w:ascii="Arial" w:cs="Arial" w:eastAsia="Arial" w:hAnsi="Arial"/>
                <w:sz w:val="14"/>
                <w:szCs w:val="14"/>
                <w:color w:val="auto"/>
              </w:rPr>
              <w:t>Total Non-Affiliate Debt Investments — Life Science</w:t>
            </w:r>
          </w:p>
        </w:tc>
        <w:tc>
          <w:tcPr>
            <w:tcW w:w="3300" w:type="dxa"/>
            <w:vAlign w:val="bottom"/>
            <w:tcBorders>
              <w:bottom w:val="single" w:sz="8" w:color="CCEEFF"/>
            </w:tcBorders>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9.25%), 5.00% ETP, Due 1/1/22)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00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58,038</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58,018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Non-Affiliate Debt Investments — Technology — 99.1% (8)</w:t>
            </w: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Intelepeer Holdings, Inc. (14)</w:t>
            </w:r>
          </w:p>
        </w:tc>
        <w:tc>
          <w:tcPr>
            <w:tcW w:w="2380" w:type="dxa"/>
            <w:vAlign w:val="bottom"/>
            <w:shd w:val="clear" w:color="auto" w:fill="CCEEFF"/>
          </w:tcPr>
          <w:p>
            <w:pPr>
              <w:ind w:left="100"/>
              <w:spacing w:after="0" w:line="127" w:lineRule="exact"/>
              <w:rPr>
                <w:sz w:val="20"/>
                <w:szCs w:val="20"/>
                <w:color w:val="auto"/>
              </w:rPr>
            </w:pPr>
            <w:r>
              <w:rPr>
                <w:rFonts w:ascii="Arial" w:cs="Arial" w:eastAsia="Arial" w:hAnsi="Arial"/>
                <w:sz w:val="14"/>
                <w:szCs w:val="14"/>
                <w:color w:val="auto"/>
              </w:rPr>
              <w:t>Communications</w:t>
            </w:r>
          </w:p>
        </w:tc>
        <w:tc>
          <w:tcPr>
            <w:tcW w:w="3300" w:type="dxa"/>
            <w:vAlign w:val="bottom"/>
            <w:gridSpan w:val="2"/>
            <w:shd w:val="clear" w:color="auto" w:fill="CCEEFF"/>
          </w:tcPr>
          <w:p>
            <w:pPr>
              <w:ind w:left="100"/>
              <w:spacing w:after="0" w:line="127" w:lineRule="exact"/>
              <w:rPr>
                <w:sz w:val="20"/>
                <w:szCs w:val="20"/>
                <w:color w:val="auto"/>
              </w:rPr>
            </w:pPr>
            <w:r>
              <w:rPr>
                <w:rFonts w:ascii="Arial" w:cs="Arial" w:eastAsia="Arial" w:hAnsi="Arial"/>
                <w:sz w:val="14"/>
                <w:szCs w:val="14"/>
                <w:color w:val="auto"/>
              </w:rPr>
              <w:t>Term Loan (11.39% cash (Libor + 9.95%; Floor</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4,000</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3,888</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3,888</w:t>
            </w: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11.25%), 2.50% ETP, Due 7/1/21)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(11.39% cash (Libor + 9.95%;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4,000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3,927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3,927</w:t>
            </w: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11.25%), 2.50% ETP, Due 7/1/21)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(11.39% cash (Libor + 9.95%;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4,000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3,927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3,927</w:t>
            </w: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11.25%), 2.50% ETP, Due 7/1/21)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PebblePost, Inc. (2)(14)</w:t>
            </w:r>
          </w:p>
        </w:tc>
        <w:tc>
          <w:tcPr>
            <w:tcW w:w="2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Communications</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Term Loan (10.63% cash (Libor + 9.26%; Floor</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4,000</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3,874</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3,874</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10.25%), 4.00% ETP, Due 7/1/21)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(10.63% cash (Libor + 9.26%;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4,000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3,933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3,933</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10.25%), 4.00% ETP, Due 7/1/21)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Le Tote, Inc. (2)(14)</w:t>
            </w:r>
          </w:p>
        </w:tc>
        <w:tc>
          <w:tcPr>
            <w:tcW w:w="2380" w:type="dxa"/>
            <w:vAlign w:val="bottom"/>
            <w:shd w:val="clear" w:color="auto" w:fill="CCEEFF"/>
          </w:tcPr>
          <w:p>
            <w:pPr>
              <w:ind w:left="100"/>
              <w:spacing w:after="0" w:line="127" w:lineRule="exact"/>
              <w:rPr>
                <w:sz w:val="20"/>
                <w:szCs w:val="20"/>
                <w:color w:val="auto"/>
              </w:rPr>
            </w:pPr>
            <w:r>
              <w:rPr>
                <w:rFonts w:ascii="Arial" w:cs="Arial" w:eastAsia="Arial" w:hAnsi="Arial"/>
                <w:sz w:val="14"/>
                <w:szCs w:val="14"/>
                <w:color w:val="auto"/>
              </w:rPr>
              <w:t>Consumer-related Technologies</w:t>
            </w:r>
          </w:p>
        </w:tc>
        <w:tc>
          <w:tcPr>
            <w:tcW w:w="3300" w:type="dxa"/>
            <w:vAlign w:val="bottom"/>
            <w:gridSpan w:val="2"/>
            <w:shd w:val="clear" w:color="auto" w:fill="CCEEFF"/>
          </w:tcPr>
          <w:p>
            <w:pPr>
              <w:ind w:left="100"/>
              <w:spacing w:after="0" w:line="127" w:lineRule="exact"/>
              <w:rPr>
                <w:sz w:val="20"/>
                <w:szCs w:val="20"/>
                <w:color w:val="auto"/>
              </w:rPr>
            </w:pPr>
            <w:r>
              <w:rPr>
                <w:rFonts w:ascii="Arial" w:cs="Arial" w:eastAsia="Arial" w:hAnsi="Arial"/>
                <w:sz w:val="14"/>
                <w:szCs w:val="14"/>
                <w:color w:val="auto"/>
              </w:rPr>
              <w:t>Term Loan (11.02% cash (Libor + 9.65%; Floor</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4,000</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3,960</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3,960</w:t>
            </w: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10.15%), 5.00% ETP, Due 3/1/20)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(11.02% cash (Libor + 9.65%;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2,969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2,969</w:t>
            </w: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10.15%), 5.00% ETP, Due 3/1/20)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SavingStar, Inc. (2)(14)</w:t>
            </w:r>
          </w:p>
        </w:tc>
        <w:tc>
          <w:tcPr>
            <w:tcW w:w="2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Consumer-related Technologies</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Term Loan (11.77% cash (Libor + 10.40%; Floor</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2,167</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2,140</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0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10.90%), 4.25% ETP, Due 6/1/20)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(11.77% cash (Libor + 10.40%;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1,911</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1,849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1,849</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300" w:type="dxa"/>
            <w:vAlign w:val="bottom"/>
            <w:gridSpan w:val="2"/>
          </w:tcPr>
          <w:p>
            <w:pPr>
              <w:ind w:left="100"/>
              <w:spacing w:after="0"/>
              <w:rPr>
                <w:sz w:val="20"/>
                <w:szCs w:val="20"/>
                <w:color w:val="auto"/>
              </w:rPr>
            </w:pPr>
            <w:r>
              <w:rPr>
                <w:rFonts w:ascii="Arial" w:cs="Arial" w:eastAsia="Arial" w:hAnsi="Arial"/>
                <w:sz w:val="14"/>
                <w:szCs w:val="14"/>
                <w:color w:val="auto"/>
              </w:rPr>
              <w:t>10.90%), 3.80% ETP, Due 11/1/20)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-3750945</wp:posOffset>
            </wp:positionV>
            <wp:extent cx="7249160" cy="12039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9160" cy="12039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-2268855</wp:posOffset>
            </wp:positionV>
            <wp:extent cx="7249160" cy="3790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9160" cy="3790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-1132205</wp:posOffset>
            </wp:positionV>
            <wp:extent cx="7249160" cy="3702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91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-391160</wp:posOffset>
            </wp:positionV>
            <wp:extent cx="7249160" cy="3702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9160" cy="37020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 of</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168"/>
        </w:trPr>
        <w:tc>
          <w:tcPr>
            <w:tcW w:w="262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100" w:type="dxa"/>
            <w:vAlign w:val="bottom"/>
          </w:tcPr>
          <w:p>
            <w:pPr>
              <w:spacing w:after="0"/>
              <w:rPr>
                <w:sz w:val="14"/>
                <w:szCs w:val="14"/>
                <w:color w:val="auto"/>
              </w:rPr>
            </w:pPr>
          </w:p>
        </w:tc>
        <w:tc>
          <w:tcPr>
            <w:tcW w:w="2280" w:type="dxa"/>
            <w:vAlign w:val="bottom"/>
          </w:tcPr>
          <w:p>
            <w:pPr>
              <w:ind w:left="94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3300" w:type="dxa"/>
            <w:vAlign w:val="bottom"/>
            <w:gridSpan w:val="2"/>
          </w:tcPr>
          <w:p>
            <w:pPr>
              <w:ind w:left="640"/>
              <w:spacing w:after="0"/>
              <w:rPr>
                <w:sz w:val="20"/>
                <w:szCs w:val="20"/>
                <w:color w:val="auto"/>
              </w:rPr>
            </w:pPr>
            <w:r>
              <w:rPr>
                <w:rFonts w:ascii="Arial" w:cs="Arial" w:eastAsia="Arial" w:hAnsi="Arial"/>
                <w:sz w:val="14"/>
                <w:szCs w:val="14"/>
                <w:b w:val="1"/>
                <w:bCs w:val="1"/>
                <w:color w:val="auto"/>
              </w:rPr>
              <w:t>Type of Investment (4)(7)(9)(10)</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Investments (6)</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121"/>
        </w:trPr>
        <w:tc>
          <w:tcPr>
            <w:tcW w:w="262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IgnitionOne, Inc. (2)(14)</w:t>
            </w:r>
          </w:p>
        </w:tc>
        <w:tc>
          <w:tcPr>
            <w:tcW w:w="100" w:type="dxa"/>
            <w:vAlign w:val="bottom"/>
            <w:tcBorders>
              <w:top w:val="single" w:sz="8" w:color="CCEEFF"/>
            </w:tcBorders>
            <w:shd w:val="clear" w:color="auto" w:fill="CCEEFF"/>
          </w:tcPr>
          <w:p>
            <w:pPr>
              <w:spacing w:after="0"/>
              <w:rPr>
                <w:sz w:val="10"/>
                <w:szCs w:val="10"/>
                <w:color w:val="auto"/>
              </w:rPr>
            </w:pPr>
          </w:p>
        </w:tc>
        <w:tc>
          <w:tcPr>
            <w:tcW w:w="228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Internet and Media</w:t>
            </w:r>
          </w:p>
        </w:tc>
        <w:tc>
          <w:tcPr>
            <w:tcW w:w="100" w:type="dxa"/>
            <w:vAlign w:val="bottom"/>
            <w:tcBorders>
              <w:top w:val="single" w:sz="8" w:color="CCEEFF"/>
            </w:tcBorders>
            <w:shd w:val="clear" w:color="auto" w:fill="CCEEFF"/>
          </w:tcPr>
          <w:p>
            <w:pPr>
              <w:spacing w:after="0"/>
              <w:rPr>
                <w:sz w:val="10"/>
                <w:szCs w:val="10"/>
                <w:color w:val="auto"/>
              </w:rPr>
            </w:pPr>
          </w:p>
        </w:tc>
        <w:tc>
          <w:tcPr>
            <w:tcW w:w="320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Term Loan (11.60% cash (Libor + 10.23%; Floor</w:t>
            </w: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3,000</w:t>
            </w: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2,832</w:t>
            </w: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2,832</w:t>
            </w:r>
          </w:p>
        </w:tc>
        <w:tc>
          <w:tcPr>
            <w:tcW w:w="100" w:type="dxa"/>
            <w:vAlign w:val="bottom"/>
            <w:tcBorders>
              <w:top w:val="single" w:sz="8" w:color="CCEEFF"/>
            </w:tcBorders>
            <w:shd w:val="clear" w:color="auto" w:fill="CCEEFF"/>
          </w:tcPr>
          <w:p>
            <w:pPr>
              <w:spacing w:after="0"/>
              <w:rPr>
                <w:sz w:val="10"/>
                <w:szCs w:val="10"/>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10.23%), 2.00% ETP, Due 4/1/22)</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(11.60% cash (Libor + 10.23%; Floor</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2,832</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2,832</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10.23%), 2.00% ETP, Due 4/1/22)</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(11.60% cash (Libor + 10.23%; Floor</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2,832</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2,832</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10.23%), 2.00% ETP, Due 4/1/22)</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(11.60% cash (Libor + 10.23%; Floor</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2,832</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2,832</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10.23%), 2.00% ETP, Due 4/1/22)</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Jump Ramp Games, Inc. (2)(14)</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Internet and Media</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Term Loan (11.10% cash (Libor + 9.73%),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3,942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3,942</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3.00% ETP, Due 4/1/21)</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Kixeye, Inc. (2)(14)</w:t>
            </w: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Internet and Media</w:t>
            </w:r>
          </w:p>
        </w:tc>
        <w:tc>
          <w:tcPr>
            <w:tcW w:w="3400" w:type="dxa"/>
            <w:vAlign w:val="bottom"/>
            <w:gridSpan w:val="3"/>
            <w:shd w:val="clear" w:color="auto" w:fill="CCEEFF"/>
          </w:tcPr>
          <w:p>
            <w:pPr>
              <w:ind w:left="100"/>
              <w:spacing w:after="0" w:line="127" w:lineRule="exact"/>
              <w:rPr>
                <w:sz w:val="20"/>
                <w:szCs w:val="20"/>
                <w:color w:val="auto"/>
              </w:rPr>
            </w:pPr>
            <w:r>
              <w:rPr>
                <w:rFonts w:ascii="Arial" w:cs="Arial" w:eastAsia="Arial" w:hAnsi="Arial"/>
                <w:sz w:val="14"/>
                <w:szCs w:val="14"/>
                <w:color w:val="auto"/>
              </w:rPr>
              <w:t>Term Loan (10.97% cash (Libor + 9.60%; Floor</w:t>
            </w:r>
          </w:p>
        </w:tc>
        <w:tc>
          <w:tcPr>
            <w:tcW w:w="10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3,000</w:t>
            </w:r>
          </w:p>
        </w:tc>
        <w:tc>
          <w:tcPr>
            <w:tcW w:w="114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2,900</w:t>
            </w:r>
          </w:p>
        </w:tc>
        <w:tc>
          <w:tcPr>
            <w:tcW w:w="8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2,900</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10.75%), 2.00% ETP, Due 9/1/21)</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(10.97% cash (Libor + 9.60%; Floor</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2,945</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2,945</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10.75%), 2.00% ETP, Due 9/1/21)</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MediaBrix, Inc. (2)(14)</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Internet and Media</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Term Loan (12.37% cash (Libor + 11.00%; Floor</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3,977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3,977</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11.50%), 3.00% ETP, Due 1/1/20)</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Rocket Lawyer Incorporated (2)(14)</w:t>
            </w: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Internet and Media</w:t>
            </w:r>
          </w:p>
        </w:tc>
        <w:tc>
          <w:tcPr>
            <w:tcW w:w="3400" w:type="dxa"/>
            <w:vAlign w:val="bottom"/>
            <w:gridSpan w:val="3"/>
            <w:shd w:val="clear" w:color="auto" w:fill="CCEEFF"/>
          </w:tcPr>
          <w:p>
            <w:pPr>
              <w:ind w:left="100"/>
              <w:spacing w:after="0" w:line="127" w:lineRule="exact"/>
              <w:rPr>
                <w:sz w:val="20"/>
                <w:szCs w:val="20"/>
                <w:color w:val="auto"/>
              </w:rPr>
            </w:pPr>
            <w:r>
              <w:rPr>
                <w:rFonts w:ascii="Arial" w:cs="Arial" w:eastAsia="Arial" w:hAnsi="Arial"/>
                <w:sz w:val="14"/>
                <w:szCs w:val="14"/>
                <w:color w:val="auto"/>
              </w:rPr>
              <w:t>Term Loan (10.77% cash (Libor + 9.40%; Floor</w:t>
            </w:r>
          </w:p>
        </w:tc>
        <w:tc>
          <w:tcPr>
            <w:tcW w:w="10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4,000</w:t>
            </w:r>
          </w:p>
        </w:tc>
        <w:tc>
          <w:tcPr>
            <w:tcW w:w="114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3,933</w:t>
            </w:r>
          </w:p>
        </w:tc>
        <w:tc>
          <w:tcPr>
            <w:tcW w:w="8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3,933</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10.50%), 3.00% ETP, Due 7/1/21)</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(10.77% cash (Libor + 9.40%; Floor</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4,000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3,933</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3,933</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10.50%), 3.00% ETP, Due 7/1/21)</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(10.77% cash (Libor + 9.40%; Floor</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1,963</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1,963</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10.50%), 3.00% ETP, Due 11/1/21)</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Zinio Holdings, LLC (2)(14)</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Internet and Media</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Term Loan (12.62% cash (Libor + 11.25%; Floor</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3,978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3,978</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11.75%), 6.00% ETP, Due 2/1/20)</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The NanoSteel Company, Inc. (2)(14)</w:t>
            </w: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Materials</w:t>
            </w:r>
          </w:p>
        </w:tc>
        <w:tc>
          <w:tcPr>
            <w:tcW w:w="3400" w:type="dxa"/>
            <w:vAlign w:val="bottom"/>
            <w:gridSpan w:val="3"/>
            <w:shd w:val="clear" w:color="auto" w:fill="CCEEFF"/>
          </w:tcPr>
          <w:p>
            <w:pPr>
              <w:ind w:left="100"/>
              <w:spacing w:after="0" w:line="127" w:lineRule="exact"/>
              <w:rPr>
                <w:sz w:val="20"/>
                <w:szCs w:val="20"/>
                <w:color w:val="auto"/>
              </w:rPr>
            </w:pPr>
            <w:r>
              <w:rPr>
                <w:rFonts w:ascii="Arial" w:cs="Arial" w:eastAsia="Arial" w:hAnsi="Arial"/>
                <w:sz w:val="14"/>
                <w:szCs w:val="14"/>
                <w:color w:val="auto"/>
              </w:rPr>
              <w:t>Term Loan (10.87% cash (Libor + 9.50%; Floor</w:t>
            </w:r>
          </w:p>
        </w:tc>
        <w:tc>
          <w:tcPr>
            <w:tcW w:w="10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4,653</w:t>
            </w:r>
          </w:p>
        </w:tc>
        <w:tc>
          <w:tcPr>
            <w:tcW w:w="114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4,578</w:t>
            </w:r>
          </w:p>
        </w:tc>
        <w:tc>
          <w:tcPr>
            <w:tcW w:w="8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4,578</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10.00%), 7.20% ETP, Due 1/1/20)</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(10.87% cash (Libor + 9.50%; Floor</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2,327</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2,289</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2,289</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10.00%), 6.45% ETP, Due 1/1/20)</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(10.87% cash (Libor + 9.50%; Floor</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2,500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2,457</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2,457</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10.00%), 5.85% ETP, Due 3/1/20)</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Powerhouse Dynamics, Inc. (2)(14)</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Power Management</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Term Loan (12.07% cash (Libor + 10.70%; Floor</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1,234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1,234</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11.20%), 3.00% ETP, Due 3/1/19)</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Luxtera, Inc. (14)</w:t>
            </w: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Semiconductors</w:t>
            </w:r>
          </w:p>
        </w:tc>
        <w:tc>
          <w:tcPr>
            <w:tcW w:w="3400" w:type="dxa"/>
            <w:vAlign w:val="bottom"/>
            <w:gridSpan w:val="3"/>
            <w:shd w:val="clear" w:color="auto" w:fill="CCEEFF"/>
          </w:tcPr>
          <w:p>
            <w:pPr>
              <w:ind w:left="100"/>
              <w:spacing w:after="0" w:line="127" w:lineRule="exact"/>
              <w:rPr>
                <w:sz w:val="20"/>
                <w:szCs w:val="20"/>
                <w:color w:val="auto"/>
              </w:rPr>
            </w:pPr>
            <w:r>
              <w:rPr>
                <w:rFonts w:ascii="Arial" w:cs="Arial" w:eastAsia="Arial" w:hAnsi="Arial"/>
                <w:sz w:val="14"/>
                <w:szCs w:val="14"/>
                <w:color w:val="auto"/>
              </w:rPr>
              <w:t>Term Loan (11.25% cash (Prime + 6.75%),</w:t>
            </w:r>
          </w:p>
        </w:tc>
        <w:tc>
          <w:tcPr>
            <w:tcW w:w="10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2,000</w:t>
            </w:r>
          </w:p>
        </w:tc>
        <w:tc>
          <w:tcPr>
            <w:tcW w:w="114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1,902</w:t>
            </w:r>
          </w:p>
        </w:tc>
        <w:tc>
          <w:tcPr>
            <w:tcW w:w="8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1,902</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Due 3/28/20)</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(11.25% cash (Prime + 6.75%),</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1,500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1,443</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1,443</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Due 3/28/20)</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Bridge2 Solutions, LLC. (2)(14)</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Software</w:t>
            </w: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Term Loan (10.62% cash (Libor + 9.25%; Floor</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4,777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4,777</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10.50%), 2.00% ETP, Due 11/1/21)</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(10.62% cash (Libor + 9.25%; Floor</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5,000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4,777</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4,777</w:t>
            </w: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10.50%), 2.00% ETP, Due 11/1/21)</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7"/>
        </w:trPr>
        <w:tc>
          <w:tcPr>
            <w:tcW w:w="2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Digital Signal Corporation (11)(12)(14)</w:t>
            </w: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Software</w:t>
            </w:r>
          </w:p>
        </w:tc>
        <w:tc>
          <w:tcPr>
            <w:tcW w:w="3400" w:type="dxa"/>
            <w:vAlign w:val="bottom"/>
            <w:gridSpan w:val="3"/>
            <w:shd w:val="clear" w:color="auto" w:fill="CCEEFF"/>
          </w:tcPr>
          <w:p>
            <w:pPr>
              <w:ind w:left="100"/>
              <w:spacing w:after="0" w:line="127" w:lineRule="exact"/>
              <w:rPr>
                <w:sz w:val="20"/>
                <w:szCs w:val="20"/>
                <w:color w:val="auto"/>
              </w:rPr>
            </w:pPr>
            <w:r>
              <w:rPr>
                <w:rFonts w:ascii="Arial" w:cs="Arial" w:eastAsia="Arial" w:hAnsi="Arial"/>
                <w:sz w:val="14"/>
                <w:szCs w:val="14"/>
                <w:color w:val="auto"/>
              </w:rPr>
              <w:t>Term Loan (11.62% cash (Libor + 10.25%; Floor</w:t>
            </w:r>
          </w:p>
        </w:tc>
        <w:tc>
          <w:tcPr>
            <w:tcW w:w="10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1,290</w:t>
            </w:r>
          </w:p>
        </w:tc>
        <w:tc>
          <w:tcPr>
            <w:tcW w:w="114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1,256</w:t>
            </w:r>
          </w:p>
        </w:tc>
        <w:tc>
          <w:tcPr>
            <w:tcW w:w="88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1,210</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10.43%), 5.00% ETP, Due 7/1/19)</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(11.62% cash (Libor + 10.25%; Floor</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1,290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1,256</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1,210</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10.43%), 5.00% ETP, Due 7/1/19)</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4"/>
        </w:trPr>
        <w:tc>
          <w:tcPr>
            <w:tcW w:w="2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Term Loan (10.00% cash, Due 12/31/17)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501</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4"/>
                <w:szCs w:val="14"/>
                <w:color w:val="auto"/>
              </w:rPr>
            </w:pPr>
          </w:p>
        </w:tc>
      </w:tr>
      <w:tr>
        <w:trPr>
          <w:trHeight w:val="146"/>
        </w:trPr>
        <w:tc>
          <w:tcPr>
            <w:tcW w:w="2620" w:type="dxa"/>
            <w:vAlign w:val="bottom"/>
          </w:tcPr>
          <w:p>
            <w:pPr>
              <w:spacing w:after="0" w:line="146" w:lineRule="exact"/>
              <w:rPr>
                <w:sz w:val="20"/>
                <w:szCs w:val="20"/>
                <w:color w:val="auto"/>
              </w:rPr>
            </w:pPr>
            <w:r>
              <w:rPr>
                <w:rFonts w:ascii="Arial" w:cs="Arial" w:eastAsia="Arial" w:hAnsi="Arial"/>
                <w:sz w:val="14"/>
                <w:szCs w:val="14"/>
                <w:color w:val="auto"/>
              </w:rPr>
              <w:t>Education Elements, Inc. (2)(14)</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Term Loan (11.37% cash (Libor + 10.00%; Floor</w:t>
            </w:r>
          </w:p>
        </w:tc>
        <w:tc>
          <w:tcPr>
            <w:tcW w:w="10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800</w:t>
            </w: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789</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789</w:t>
            </w:r>
          </w:p>
        </w:tc>
        <w:tc>
          <w:tcPr>
            <w:tcW w:w="100" w:type="dxa"/>
            <w:vAlign w:val="bottom"/>
          </w:tcPr>
          <w:p>
            <w:pPr>
              <w:spacing w:after="0"/>
              <w:rPr>
                <w:sz w:val="12"/>
                <w:szCs w:val="12"/>
                <w:color w:val="auto"/>
              </w:rPr>
            </w:pP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10.50%), 4.00% ETP, Due 1/1/19)</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Term Loan (11.37% cash (Libor + 10.00%; Floor</w:t>
            </w:r>
          </w:p>
        </w:tc>
        <w:tc>
          <w:tcPr>
            <w:tcW w:w="10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950</w:t>
            </w: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937</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937</w:t>
            </w:r>
          </w:p>
        </w:tc>
        <w:tc>
          <w:tcPr>
            <w:tcW w:w="100" w:type="dxa"/>
            <w:vAlign w:val="bottom"/>
          </w:tcPr>
          <w:p>
            <w:pPr>
              <w:spacing w:after="0"/>
              <w:rPr>
                <w:sz w:val="12"/>
                <w:szCs w:val="12"/>
                <w:color w:val="auto"/>
              </w:rPr>
            </w:pPr>
          </w:p>
        </w:tc>
      </w:tr>
      <w:tr>
        <w:trPr>
          <w:trHeight w:val="127"/>
        </w:trPr>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400" w:type="dxa"/>
            <w:vAlign w:val="bottom"/>
            <w:gridSpan w:val="3"/>
            <w:shd w:val="clear" w:color="auto" w:fill="CCEEFF"/>
          </w:tcPr>
          <w:p>
            <w:pPr>
              <w:ind w:left="100"/>
              <w:spacing w:after="0" w:line="127" w:lineRule="exact"/>
              <w:rPr>
                <w:sz w:val="20"/>
                <w:szCs w:val="20"/>
                <w:color w:val="auto"/>
              </w:rPr>
            </w:pPr>
            <w:r>
              <w:rPr>
                <w:rFonts w:ascii="Arial" w:cs="Arial" w:eastAsia="Arial" w:hAnsi="Arial"/>
                <w:sz w:val="14"/>
                <w:szCs w:val="14"/>
                <w:color w:val="auto"/>
              </w:rPr>
              <w:t>10.50%), 4.00% ETP, Due 8/1/19)</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6"/>
        </w:trPr>
        <w:tc>
          <w:tcPr>
            <w:tcW w:w="26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Metricly, Inc. (14)</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(13.62% cash (Libor + 12.25%; Floor</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184</w:t>
            </w: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184</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2"/>
                <w:szCs w:val="12"/>
                <w:color w:val="auto"/>
              </w:rPr>
            </w:pPr>
          </w:p>
        </w:tc>
      </w:tr>
      <w:tr>
        <w:trPr>
          <w:trHeight w:val="164"/>
        </w:trPr>
        <w:tc>
          <w:tcPr>
            <w:tcW w:w="2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12.50%), 3.33% ETP, Due 9/1/18)</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6"/>
        </w:trPr>
        <w:tc>
          <w:tcPr>
            <w:tcW w:w="2620" w:type="dxa"/>
            <w:vAlign w:val="bottom"/>
          </w:tcPr>
          <w:p>
            <w:pPr>
              <w:spacing w:after="0" w:line="146" w:lineRule="exact"/>
              <w:rPr>
                <w:sz w:val="20"/>
                <w:szCs w:val="20"/>
                <w:color w:val="auto"/>
              </w:rPr>
            </w:pPr>
            <w:r>
              <w:rPr>
                <w:rFonts w:ascii="Arial" w:cs="Arial" w:eastAsia="Arial" w:hAnsi="Arial"/>
                <w:sz w:val="14"/>
                <w:szCs w:val="14"/>
                <w:color w:val="auto"/>
              </w:rPr>
              <w:t>ShopKeep.com, Inc. (2)(14)</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Term Loan (11.32% cash (Libor + 9.95%; Floor</w:t>
            </w:r>
          </w:p>
        </w:tc>
        <w:tc>
          <w:tcPr>
            <w:tcW w:w="10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6,000</w:t>
            </w:r>
          </w:p>
        </w:tc>
        <w:tc>
          <w:tcPr>
            <w:tcW w:w="114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5,897</w:t>
            </w:r>
          </w:p>
        </w:tc>
        <w:tc>
          <w:tcPr>
            <w:tcW w:w="88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5,897</w:t>
            </w:r>
          </w:p>
        </w:tc>
      </w:tr>
      <w:tr>
        <w:trPr>
          <w:trHeight w:val="146"/>
        </w:trPr>
        <w:tc>
          <w:tcPr>
            <w:tcW w:w="2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10.45%), 4.08% ETP, Due 10/1/20)</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Term Loan (11.32% cash (Libor + 9.95%; Floor</w:t>
            </w:r>
          </w:p>
        </w:tc>
        <w:tc>
          <w:tcPr>
            <w:tcW w:w="10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4,000</w:t>
            </w:r>
          </w:p>
        </w:tc>
        <w:tc>
          <w:tcPr>
            <w:tcW w:w="114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3,924</w:t>
            </w:r>
          </w:p>
        </w:tc>
        <w:tc>
          <w:tcPr>
            <w:tcW w:w="88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3,924</w:t>
            </w:r>
          </w:p>
        </w:tc>
      </w:tr>
      <w:tr>
        <w:trPr>
          <w:trHeight w:val="127"/>
        </w:trPr>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400" w:type="dxa"/>
            <w:vAlign w:val="bottom"/>
            <w:gridSpan w:val="3"/>
            <w:shd w:val="clear" w:color="auto" w:fill="CCEEFF"/>
          </w:tcPr>
          <w:p>
            <w:pPr>
              <w:ind w:left="100"/>
              <w:spacing w:after="0" w:line="127" w:lineRule="exact"/>
              <w:rPr>
                <w:sz w:val="20"/>
                <w:szCs w:val="20"/>
                <w:color w:val="auto"/>
              </w:rPr>
            </w:pPr>
            <w:r>
              <w:rPr>
                <w:rFonts w:ascii="Arial" w:cs="Arial" w:eastAsia="Arial" w:hAnsi="Arial"/>
                <w:sz w:val="14"/>
                <w:szCs w:val="14"/>
                <w:color w:val="auto"/>
              </w:rPr>
              <w:t>10.45%), 3.55% ETP, Due 2/1/21)</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6"/>
        </w:trPr>
        <w:tc>
          <w:tcPr>
            <w:tcW w:w="26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SIGNiX, Inc. (14)</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(12.37% cash (Libor + 11.00%; Floor</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2,180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2,073</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1,930</w:t>
            </w:r>
          </w:p>
        </w:tc>
      </w:tr>
      <w:tr>
        <w:trPr>
          <w:trHeight w:val="164"/>
        </w:trPr>
        <w:tc>
          <w:tcPr>
            <w:tcW w:w="2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11.50%), 5.33% ETP, Due 2/1/20)</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6"/>
        </w:trPr>
        <w:tc>
          <w:tcPr>
            <w:tcW w:w="2620" w:type="dxa"/>
            <w:vAlign w:val="bottom"/>
          </w:tcPr>
          <w:p>
            <w:pPr>
              <w:spacing w:after="0" w:line="146" w:lineRule="exact"/>
              <w:rPr>
                <w:sz w:val="20"/>
                <w:szCs w:val="20"/>
                <w:color w:val="auto"/>
              </w:rPr>
            </w:pPr>
            <w:r>
              <w:rPr>
                <w:rFonts w:ascii="Arial" w:cs="Arial" w:eastAsia="Arial" w:hAnsi="Arial"/>
                <w:sz w:val="14"/>
                <w:szCs w:val="14"/>
                <w:color w:val="auto"/>
              </w:rPr>
              <w:t>SilkRoad Technology, Inc. (2)(14)</w:t>
            </w:r>
          </w:p>
        </w:tc>
        <w:tc>
          <w:tcPr>
            <w:tcW w:w="100" w:type="dxa"/>
            <w:vAlign w:val="bottom"/>
          </w:tcPr>
          <w:p>
            <w:pPr>
              <w:spacing w:after="0"/>
              <w:rPr>
                <w:sz w:val="12"/>
                <w:szCs w:val="12"/>
                <w:color w:val="auto"/>
              </w:rPr>
            </w:pP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Term Loan (11.72% cash (Libor + 10.35%; Floor</w:t>
            </w:r>
          </w:p>
        </w:tc>
        <w:tc>
          <w:tcPr>
            <w:tcW w:w="100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7,000</w:t>
            </w:r>
          </w:p>
        </w:tc>
        <w:tc>
          <w:tcPr>
            <w:tcW w:w="114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rPr>
              <w:t>6,904</w:t>
            </w:r>
          </w:p>
        </w:tc>
        <w:tc>
          <w:tcPr>
            <w:tcW w:w="88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6,904</w:t>
            </w:r>
          </w:p>
        </w:tc>
      </w:tr>
      <w:tr>
        <w:trPr>
          <w:trHeight w:val="127"/>
        </w:trPr>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3400" w:type="dxa"/>
            <w:vAlign w:val="bottom"/>
            <w:gridSpan w:val="3"/>
            <w:shd w:val="clear" w:color="auto" w:fill="CCEEFF"/>
          </w:tcPr>
          <w:p>
            <w:pPr>
              <w:ind w:left="100"/>
              <w:spacing w:after="0" w:line="127" w:lineRule="exact"/>
              <w:rPr>
                <w:sz w:val="20"/>
                <w:szCs w:val="20"/>
                <w:color w:val="auto"/>
              </w:rPr>
            </w:pPr>
            <w:r>
              <w:rPr>
                <w:rFonts w:ascii="Arial" w:cs="Arial" w:eastAsia="Arial" w:hAnsi="Arial"/>
                <w:sz w:val="14"/>
                <w:szCs w:val="14"/>
                <w:color w:val="auto"/>
              </w:rPr>
              <w:t>10.85%; Ceiling 12.85%), 5.00% ETP, Due 6/1/20)</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6"/>
        </w:trPr>
        <w:tc>
          <w:tcPr>
            <w:tcW w:w="26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Weblinc Corporation (2)(14)</w:t>
            </w: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(11.62% cash (Libor + 10.25%; Floor</w:t>
            </w: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2,913</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2,913</w:t>
            </w:r>
          </w:p>
        </w:tc>
      </w:tr>
      <w:tr>
        <w:trPr>
          <w:trHeight w:val="164"/>
        </w:trPr>
        <w:tc>
          <w:tcPr>
            <w:tcW w:w="2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34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11.25%), 3.00% ETP, Due 3/1/21)</w:t>
            </w: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-4907915</wp:posOffset>
            </wp:positionV>
            <wp:extent cx="7249160" cy="1854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9160" cy="1854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-4352290</wp:posOffset>
            </wp:positionV>
            <wp:extent cx="7249160" cy="1854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9160" cy="1854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-3611245</wp:posOffset>
            </wp:positionV>
            <wp:extent cx="7249160" cy="1854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9160" cy="1854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-2870200</wp:posOffset>
            </wp:positionV>
            <wp:extent cx="7249160" cy="1854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9160" cy="1854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-2314575</wp:posOffset>
            </wp:positionV>
            <wp:extent cx="7249160" cy="3702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91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-1481455</wp:posOffset>
            </wp:positionV>
            <wp:extent cx="7249160" cy="4629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9160" cy="4629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-925195</wp:posOffset>
            </wp:positionV>
            <wp:extent cx="7249160" cy="4629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9160" cy="4629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-369570</wp:posOffset>
            </wp:positionV>
            <wp:extent cx="7249160" cy="278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9160" cy="278130"/>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 of</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8"/>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100" w:type="dxa"/>
            <w:vAlign w:val="bottom"/>
          </w:tcPr>
          <w:p>
            <w:pPr>
              <w:spacing w:after="0"/>
              <w:rPr>
                <w:sz w:val="14"/>
                <w:szCs w:val="14"/>
                <w:color w:val="auto"/>
              </w:rPr>
            </w:pPr>
          </w:p>
        </w:tc>
        <w:tc>
          <w:tcPr>
            <w:tcW w:w="2340" w:type="dxa"/>
            <w:vAlign w:val="bottom"/>
            <w:gridSpan w:val="2"/>
          </w:tcPr>
          <w:p>
            <w:pPr>
              <w:ind w:left="940"/>
              <w:spacing w:after="0"/>
              <w:rPr>
                <w:sz w:val="20"/>
                <w:szCs w:val="20"/>
                <w:color w:val="auto"/>
              </w:rPr>
            </w:pPr>
            <w:r>
              <w:rPr>
                <w:rFonts w:ascii="Arial" w:cs="Arial" w:eastAsia="Arial" w:hAnsi="Arial"/>
                <w:sz w:val="14"/>
                <w:szCs w:val="14"/>
                <w:b w:val="1"/>
                <w:bCs w:val="1"/>
                <w:color w:val="auto"/>
              </w:rPr>
              <w:t>Sector</w:t>
            </w:r>
          </w:p>
        </w:tc>
        <w:tc>
          <w:tcPr>
            <w:tcW w:w="40" w:type="dxa"/>
            <w:vAlign w:val="bottom"/>
          </w:tcPr>
          <w:p>
            <w:pPr>
              <w:spacing w:after="0"/>
              <w:rPr>
                <w:sz w:val="14"/>
                <w:szCs w:val="14"/>
                <w:color w:val="auto"/>
              </w:rPr>
            </w:pPr>
          </w:p>
        </w:tc>
        <w:tc>
          <w:tcPr>
            <w:tcW w:w="3200" w:type="dxa"/>
            <w:vAlign w:val="bottom"/>
          </w:tcPr>
          <w:p>
            <w:pPr>
              <w:ind w:left="640"/>
              <w:spacing w:after="0"/>
              <w:rPr>
                <w:sz w:val="20"/>
                <w:szCs w:val="20"/>
                <w:color w:val="auto"/>
              </w:rPr>
            </w:pPr>
            <w:r>
              <w:rPr>
                <w:rFonts w:ascii="Arial" w:cs="Arial" w:eastAsia="Arial" w:hAnsi="Arial"/>
                <w:sz w:val="14"/>
                <w:szCs w:val="14"/>
                <w:b w:val="1"/>
                <w:bCs w:val="1"/>
                <w:color w:val="auto"/>
              </w:rPr>
              <w:t>Type of Investment (4)(7)(9)(10)</w:t>
            </w:r>
          </w:p>
        </w:tc>
        <w:tc>
          <w:tcPr>
            <w:tcW w:w="10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Investments (6)</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xAd, Inc. (2)(14)</w:t>
            </w:r>
          </w:p>
        </w:tc>
        <w:tc>
          <w:tcPr>
            <w:tcW w:w="100" w:type="dxa"/>
            <w:vAlign w:val="bottom"/>
            <w:tcBorders>
              <w:top w:val="single" w:sz="8" w:color="CCEEFF"/>
            </w:tcBorders>
            <w:shd w:val="clear" w:color="auto" w:fill="CCEEFF"/>
          </w:tcPr>
          <w:p>
            <w:pPr>
              <w:spacing w:after="0"/>
              <w:rPr>
                <w:sz w:val="10"/>
                <w:szCs w:val="10"/>
                <w:color w:val="auto"/>
              </w:rPr>
            </w:pPr>
          </w:p>
        </w:tc>
        <w:tc>
          <w:tcPr>
            <w:tcW w:w="228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Software</w:t>
            </w: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20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3"/>
                <w:szCs w:val="13"/>
                <w:color w:val="auto"/>
              </w:rPr>
              <w:t>Term Loan (10.07% cash (Libor + 8.70%; Floor</w:t>
            </w: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5,000</w:t>
            </w: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4,895</w:t>
            </w: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4,895</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10.00%), 4.75% ETP, Due 11/1/21)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Term Loan (10.07% cash (Libor + 8.70%; Floor</w:t>
            </w:r>
          </w:p>
        </w:tc>
        <w:tc>
          <w:tcPr>
            <w:tcW w:w="1100" w:type="dxa"/>
            <w:vAlign w:val="bottom"/>
            <w:gridSpan w:val="3"/>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5,000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4,895</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4,895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10.00%), 4.75% ETP, Due 11/1/21)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(10.07% cash (Libor + 8.70%; Floor</w:t>
            </w:r>
          </w:p>
        </w:tc>
        <w:tc>
          <w:tcPr>
            <w:tcW w:w="1100" w:type="dxa"/>
            <w:vAlign w:val="bottom"/>
            <w:gridSpan w:val="3"/>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2,937</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2,937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10.00%), 4.75% ETP, Due 11/1/21)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(10.07% cash (Libor + 8.70%; Floor</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2,000</w:t>
            </w:r>
          </w:p>
        </w:tc>
        <w:tc>
          <w:tcPr>
            <w:tcW w:w="11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1,958</w:t>
            </w: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1,958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10.00%), 4.75% ETP, Due 11/1/21)</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Borders>
              <w:bottom w:val="single" w:sz="8" w:color="CCEEFF"/>
            </w:tcBorders>
            <w:gridSpan w:val="4"/>
          </w:tcPr>
          <w:p>
            <w:pPr>
              <w:spacing w:after="0" w:line="139" w:lineRule="exact"/>
              <w:rPr>
                <w:sz w:val="20"/>
                <w:szCs w:val="20"/>
                <w:color w:val="auto"/>
              </w:rPr>
            </w:pPr>
            <w:r>
              <w:rPr>
                <w:rFonts w:ascii="Arial" w:cs="Arial" w:eastAsia="Arial" w:hAnsi="Arial"/>
                <w:sz w:val="14"/>
                <w:szCs w:val="14"/>
                <w:color w:val="auto"/>
              </w:rPr>
              <w:t>Total Non-Affiliate Debt Investments — Technology</w:t>
            </w:r>
          </w:p>
        </w:tc>
        <w:tc>
          <w:tcPr>
            <w:tcW w:w="4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134,142</w:t>
            </w: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133,889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b w:val="1"/>
                <w:bCs w:val="1"/>
                <w:color w:val="auto"/>
                <w:w w:val="92"/>
              </w:rPr>
              <w:t>Non-Affiliate Debt Investments — Healthcare information and services — 6.3% (8)</w:t>
            </w:r>
          </w:p>
        </w:tc>
        <w:tc>
          <w:tcPr>
            <w:tcW w:w="4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600" w:type="dxa"/>
            <w:vAlign w:val="bottom"/>
          </w:tcPr>
          <w:p>
            <w:pPr>
              <w:spacing w:after="0" w:line="127" w:lineRule="exact"/>
              <w:rPr>
                <w:sz w:val="20"/>
                <w:szCs w:val="20"/>
                <w:color w:val="auto"/>
              </w:rPr>
            </w:pPr>
            <w:r>
              <w:rPr>
                <w:rFonts w:ascii="Arial" w:cs="Arial" w:eastAsia="Arial" w:hAnsi="Arial"/>
                <w:sz w:val="14"/>
                <w:szCs w:val="14"/>
                <w:color w:val="auto"/>
              </w:rPr>
              <w:t>HealthEdge Software, Inc. (2)(14)</w:t>
            </w:r>
          </w:p>
        </w:tc>
        <w:tc>
          <w:tcPr>
            <w:tcW w:w="100" w:type="dxa"/>
            <w:vAlign w:val="bottom"/>
          </w:tcPr>
          <w:p>
            <w:pPr>
              <w:spacing w:after="0"/>
              <w:rPr>
                <w:sz w:val="11"/>
                <w:szCs w:val="11"/>
                <w:color w:val="auto"/>
              </w:rPr>
            </w:pPr>
          </w:p>
        </w:tc>
        <w:tc>
          <w:tcPr>
            <w:tcW w:w="2340" w:type="dxa"/>
            <w:vAlign w:val="bottom"/>
            <w:gridSpan w:val="2"/>
          </w:tcPr>
          <w:p>
            <w:pPr>
              <w:spacing w:after="0" w:line="127" w:lineRule="exact"/>
              <w:rPr>
                <w:sz w:val="20"/>
                <w:szCs w:val="20"/>
                <w:color w:val="auto"/>
              </w:rPr>
            </w:pPr>
            <w:r>
              <w:rPr>
                <w:rFonts w:ascii="Arial" w:cs="Arial" w:eastAsia="Arial" w:hAnsi="Arial"/>
                <w:sz w:val="14"/>
                <w:szCs w:val="14"/>
                <w:color w:val="auto"/>
              </w:rPr>
              <w:t>Software</w:t>
            </w:r>
          </w:p>
        </w:tc>
        <w:tc>
          <w:tcPr>
            <w:tcW w:w="3240" w:type="dxa"/>
            <w:vAlign w:val="bottom"/>
            <w:gridSpan w:val="2"/>
          </w:tcPr>
          <w:p>
            <w:pPr>
              <w:ind w:left="40"/>
              <w:spacing w:after="0" w:line="127" w:lineRule="exact"/>
              <w:rPr>
                <w:sz w:val="20"/>
                <w:szCs w:val="20"/>
                <w:color w:val="auto"/>
              </w:rPr>
            </w:pPr>
            <w:r>
              <w:rPr>
                <w:rFonts w:ascii="Arial" w:cs="Arial" w:eastAsia="Arial" w:hAnsi="Arial"/>
                <w:sz w:val="14"/>
                <w:szCs w:val="14"/>
                <w:color w:val="auto"/>
              </w:rPr>
              <w:t>Term Loan (9.62% cash (Libor + 8.25%;</w:t>
            </w:r>
          </w:p>
        </w:tc>
        <w:tc>
          <w:tcPr>
            <w:tcW w:w="1100" w:type="dxa"/>
            <w:vAlign w:val="bottom"/>
            <w:gridSpan w:val="3"/>
          </w:tcPr>
          <w:p>
            <w:pPr>
              <w:jc w:val="right"/>
              <w:ind w:right="220"/>
              <w:spacing w:after="0" w:line="127" w:lineRule="exact"/>
              <w:rPr>
                <w:sz w:val="20"/>
                <w:szCs w:val="20"/>
                <w:color w:val="auto"/>
              </w:rPr>
            </w:pPr>
            <w:r>
              <w:rPr>
                <w:rFonts w:ascii="Arial" w:cs="Arial" w:eastAsia="Arial" w:hAnsi="Arial"/>
                <w:sz w:val="14"/>
                <w:szCs w:val="14"/>
                <w:color w:val="auto"/>
              </w:rPr>
              <w:t>5,000</w:t>
            </w:r>
          </w:p>
        </w:tc>
        <w:tc>
          <w:tcPr>
            <w:tcW w:w="114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4,819</w:t>
            </w:r>
          </w:p>
        </w:tc>
        <w:tc>
          <w:tcPr>
            <w:tcW w:w="88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4,819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Floor 9.25%), 3.00% ETP, Due 7/1/22)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4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Term Loan (9.68% cash (Libor + 8.25%;</w:t>
            </w:r>
          </w:p>
        </w:tc>
        <w:tc>
          <w:tcPr>
            <w:tcW w:w="110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3,750</w:t>
            </w:r>
          </w:p>
        </w:tc>
        <w:tc>
          <w:tcPr>
            <w:tcW w:w="11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3,693</w:t>
            </w: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3,693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Floor 9.25%), 3.00% ETP, Due 1/1/23)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40" w:type="dxa"/>
            <w:vAlign w:val="bottom"/>
            <w:gridSpan w:val="4"/>
            <w:shd w:val="clear" w:color="auto" w:fill="CCEEFF"/>
          </w:tcPr>
          <w:p>
            <w:pPr>
              <w:spacing w:after="0" w:line="159" w:lineRule="exact"/>
              <w:rPr>
                <w:sz w:val="20"/>
                <w:szCs w:val="20"/>
                <w:color w:val="auto"/>
              </w:rPr>
            </w:pPr>
            <w:r>
              <w:rPr>
                <w:rFonts w:ascii="Arial" w:cs="Arial" w:eastAsia="Arial" w:hAnsi="Arial"/>
                <w:sz w:val="14"/>
                <w:szCs w:val="14"/>
                <w:color w:val="auto"/>
              </w:rPr>
              <w:t>Total Non-Affiliate Debt Investments — Healthcare information and services</w:t>
            </w:r>
          </w:p>
        </w:tc>
        <w:tc>
          <w:tcPr>
            <w:tcW w:w="4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8,512</w:t>
            </w: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8,512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0" w:type="dxa"/>
            <w:vAlign w:val="bottom"/>
            <w:tcBorders>
              <w:bottom w:val="single" w:sz="8" w:color="CCEEFF"/>
            </w:tcBorders>
          </w:tcPr>
          <w:p>
            <w:pPr>
              <w:spacing w:after="0" w:line="139" w:lineRule="exact"/>
              <w:rPr>
                <w:sz w:val="20"/>
                <w:szCs w:val="20"/>
                <w:color w:val="auto"/>
              </w:rPr>
            </w:pPr>
            <w:r>
              <w:rPr>
                <w:rFonts w:ascii="Arial" w:cs="Arial" w:eastAsia="Arial" w:hAnsi="Arial"/>
                <w:sz w:val="14"/>
                <w:szCs w:val="14"/>
                <w:b w:val="1"/>
                <w:bCs w:val="1"/>
                <w:color w:val="auto"/>
              </w:rPr>
              <w:t>Total Non- Affiliate Debt Investments</w:t>
            </w:r>
          </w:p>
        </w:tc>
        <w:tc>
          <w:tcPr>
            <w:tcW w:w="1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200,692</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200,419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5040" w:type="dxa"/>
            <w:vAlign w:val="bottom"/>
            <w:gridSpan w:val="4"/>
          </w:tcPr>
          <w:p>
            <w:pPr>
              <w:spacing w:after="0" w:line="146" w:lineRule="exact"/>
              <w:rPr>
                <w:sz w:val="20"/>
                <w:szCs w:val="20"/>
                <w:color w:val="auto"/>
              </w:rPr>
            </w:pPr>
            <w:r>
              <w:rPr>
                <w:rFonts w:ascii="Arial" w:cs="Arial" w:eastAsia="Arial" w:hAnsi="Arial"/>
                <w:sz w:val="14"/>
                <w:szCs w:val="14"/>
                <w:b w:val="1"/>
                <w:bCs w:val="1"/>
                <w:color w:val="auto"/>
              </w:rPr>
              <w:t>Non-Affiliate Warrant Investments — 6.7% (8)</w:t>
            </w:r>
          </w:p>
        </w:tc>
        <w:tc>
          <w:tcPr>
            <w:tcW w:w="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040" w:type="dxa"/>
            <w:vAlign w:val="bottom"/>
            <w:gridSpan w:val="4"/>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Non-Affiliate Warrants — Life Science — 1.6% (8)</w:t>
            </w:r>
          </w:p>
        </w:tc>
        <w:tc>
          <w:tcPr>
            <w:tcW w:w="4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ACT Biotech Corporation (14)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Biotechnology</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604,038 Preferred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60</w:t>
            </w: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Alpine Immune Sciences, Inc. (5)(14)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Biotechnology</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4,634 Common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122</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Argos Therapeutics, Inc. (2)(5)(14)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Biotechnology</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73,112 Common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33</w:t>
            </w: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Celsion Corporation (5)(14)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Biotechnology</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408 Common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w w:val="94"/>
              </w:rPr>
              <w:t>Rocket Pharmaceuticals Corporation (5)(14)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Biotechnology</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7,051 Common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Palatin Technologies, Inc. (2)(5)(14)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Biotechnology</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608,058 Common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Revance Therapeutics, Inc. (5)(14)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Biotechnology</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34,113 Common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68</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Sample6, Inc. (2)(14)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Biotechnology</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661,956 Preferred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Strongbridge U.S. Inc. (5)(14)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Biotechnology</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160,714 Common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72</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794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Sunesis Pharmaceuticals, Inc. (5)(14)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Biotechnology</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2,050 Common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vTv Therapeutics Inc. (2)(5)(14)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Biotechnology</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95,293 Common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44</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Titan Pharmaceuticals, Inc. (2)(5)(14)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Drug Delivery</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280,612 Common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88</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AccuVein Inc. (2)(14)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Medical Device</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75,769 Preferred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Aerin Medical, Inc. (2)(14)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Medical Device</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1,818,182 Preferred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66</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Conventus Orthopaedics, Inc. (2)(14)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Medical Device</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720,000 Preferred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95</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IntegenX, Inc. (2)(14)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Medical Device</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170,646 Preferred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35</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Lantos Technologies, Inc. (2)(14)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Medical Device</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471,979 Common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39</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145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Mederi Therapeutics, Inc. (2)(14)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Medical Device</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248,736 Preferred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Mitralign, Inc. (2)(14)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Medical Device</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64,190 Common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52</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NinePoint Medical, Inc. (2)(14)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Medical Device</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29,102 Preferred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OraMetrix, Inc. (2)(14)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Medical Device</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812,348 Preferred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78</w:t>
            </w: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ReShape Lifesciences Inc. (5)(14)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Medical Device</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134 Common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347</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Tryton Medical, Inc. (2)(14)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Medical Device</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122,362 Preferred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VERO Biotech LLC (2)(14)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Medical Device</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800,000 Common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tcPr>
          <w:p>
            <w:pPr>
              <w:spacing w:after="0" w:line="159" w:lineRule="exact"/>
              <w:rPr>
                <w:sz w:val="20"/>
                <w:szCs w:val="20"/>
                <w:color w:val="auto"/>
              </w:rPr>
            </w:pPr>
            <w:r>
              <w:rPr>
                <w:rFonts w:ascii="Arial" w:cs="Arial" w:eastAsia="Arial" w:hAnsi="Arial"/>
                <w:sz w:val="14"/>
                <w:szCs w:val="14"/>
                <w:color w:val="auto"/>
              </w:rPr>
              <w:t>ViOptix, Inc. (14)</w:t>
            </w:r>
          </w:p>
        </w:tc>
        <w:tc>
          <w:tcPr>
            <w:tcW w:w="100" w:type="dxa"/>
            <w:vAlign w:val="bottom"/>
          </w:tcPr>
          <w:p>
            <w:pPr>
              <w:spacing w:after="0"/>
              <w:rPr>
                <w:sz w:val="13"/>
                <w:szCs w:val="13"/>
                <w:color w:val="auto"/>
              </w:rPr>
            </w:pPr>
          </w:p>
        </w:tc>
        <w:tc>
          <w:tcPr>
            <w:tcW w:w="2340" w:type="dxa"/>
            <w:vAlign w:val="bottom"/>
            <w:gridSpan w:val="2"/>
          </w:tcPr>
          <w:p>
            <w:pPr>
              <w:spacing w:after="0" w:line="159" w:lineRule="exact"/>
              <w:rPr>
                <w:sz w:val="20"/>
                <w:szCs w:val="20"/>
                <w:color w:val="auto"/>
              </w:rPr>
            </w:pPr>
            <w:r>
              <w:rPr>
                <w:rFonts w:ascii="Arial" w:cs="Arial" w:eastAsia="Arial" w:hAnsi="Arial"/>
                <w:sz w:val="14"/>
                <w:szCs w:val="14"/>
                <w:color w:val="auto"/>
              </w:rPr>
              <w:t>Medical Device</w:t>
            </w:r>
          </w:p>
        </w:tc>
        <w:tc>
          <w:tcPr>
            <w:tcW w:w="324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375,763 Preferred Stock Warrants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13</w:t>
            </w:r>
          </w:p>
        </w:tc>
        <w:tc>
          <w:tcPr>
            <w:tcW w:w="22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w w:val="95"/>
              </w:rPr>
              <w:t>Total Non-Affiliate Warrants — Life Science</w:t>
            </w:r>
          </w:p>
        </w:tc>
        <w:tc>
          <w:tcPr>
            <w:tcW w:w="1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1,504</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2,175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gridSpan w:val="4"/>
          </w:tcPr>
          <w:p>
            <w:pPr>
              <w:spacing w:after="0" w:line="139" w:lineRule="exact"/>
              <w:rPr>
                <w:sz w:val="20"/>
                <w:szCs w:val="20"/>
                <w:color w:val="auto"/>
              </w:rPr>
            </w:pPr>
            <w:r>
              <w:rPr>
                <w:rFonts w:ascii="Arial" w:cs="Arial" w:eastAsia="Arial" w:hAnsi="Arial"/>
                <w:sz w:val="14"/>
                <w:szCs w:val="14"/>
                <w:b w:val="1"/>
                <w:bCs w:val="1"/>
                <w:color w:val="auto"/>
              </w:rPr>
              <w:t>Non-Affiliate Warrants — Technology — 4.6% (8)</w:t>
            </w:r>
          </w:p>
        </w:tc>
        <w:tc>
          <w:tcPr>
            <w:tcW w:w="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Ekahau, Inc. (2)(14)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Communications</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978,261 Preferred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32</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Intelepeer Holdings, Inc. (14)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Communications</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2,256,549 Preferred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149</w:t>
            </w:r>
          </w:p>
        </w:tc>
        <w:tc>
          <w:tcPr>
            <w:tcW w:w="220" w:type="dxa"/>
            <w:vAlign w:val="bottom"/>
          </w:tcPr>
          <w:p>
            <w:pPr>
              <w:spacing w:after="0"/>
              <w:rPr>
                <w:sz w:val="12"/>
                <w:szCs w:val="12"/>
                <w:color w:val="auto"/>
              </w:rPr>
            </w:pPr>
          </w:p>
        </w:tc>
        <w:tc>
          <w:tcPr>
            <w:tcW w:w="88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PebblePost, Inc. (2)(14)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Communications</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598,850 Preferred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92</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Additech, Inc. (2)(14)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Consumer-related Technologies</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150,000 Preferred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33</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Gwynnie Bee, Inc. (2)(14)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Consumer-related Technologies</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268,591 Preferred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816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Le Tote, Inc. (2)(14)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Consumer-related Technologies</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202,974 Preferred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63</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363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Rhapsody International Inc. (2)(14)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Consumer-related Technologies</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852,273 Common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164</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SavingStar, Inc. (2)(14)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Consumer-related Technologies</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850,439 Preferred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104</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103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IgnitionOne, Inc. (2)(14)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Internet and Media</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262,910 Preferred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672</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Jump Ramp Games, Inc. (2)(14)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Internet and Media</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159,766 Preferred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31</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Kixeye, Inc. (2)(14)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Internet and Media</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791,251 Preferred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75</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tcPr>
          <w:p>
            <w:pPr>
              <w:spacing w:after="0" w:line="146" w:lineRule="exact"/>
              <w:rPr>
                <w:sz w:val="20"/>
                <w:szCs w:val="20"/>
                <w:color w:val="auto"/>
              </w:rPr>
            </w:pPr>
            <w:r>
              <w:rPr>
                <w:rFonts w:ascii="Arial" w:cs="Arial" w:eastAsia="Arial" w:hAnsi="Arial"/>
                <w:sz w:val="14"/>
                <w:szCs w:val="14"/>
                <w:color w:val="auto"/>
              </w:rPr>
              <w:t>Rocket Lawyer Incorporated (2)(14)</w:t>
            </w:r>
          </w:p>
        </w:tc>
        <w:tc>
          <w:tcPr>
            <w:tcW w:w="100" w:type="dxa"/>
            <w:vAlign w:val="bottom"/>
          </w:tcPr>
          <w:p>
            <w:pPr>
              <w:spacing w:after="0"/>
              <w:rPr>
                <w:sz w:val="12"/>
                <w:szCs w:val="12"/>
                <w:color w:val="auto"/>
              </w:rPr>
            </w:pPr>
          </w:p>
        </w:tc>
        <w:tc>
          <w:tcPr>
            <w:tcW w:w="2340" w:type="dxa"/>
            <w:vAlign w:val="bottom"/>
            <w:gridSpan w:val="2"/>
          </w:tcPr>
          <w:p>
            <w:pPr>
              <w:spacing w:after="0" w:line="146" w:lineRule="exact"/>
              <w:rPr>
                <w:sz w:val="20"/>
                <w:szCs w:val="20"/>
                <w:color w:val="auto"/>
              </w:rPr>
            </w:pPr>
            <w:r>
              <w:rPr>
                <w:rFonts w:ascii="Arial" w:cs="Arial" w:eastAsia="Arial" w:hAnsi="Arial"/>
                <w:sz w:val="14"/>
                <w:szCs w:val="14"/>
                <w:color w:val="auto"/>
              </w:rPr>
              <w:t>Internet and Media</w:t>
            </w:r>
          </w:p>
        </w:tc>
        <w:tc>
          <w:tcPr>
            <w:tcW w:w="324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261,721 Preferred Stock Warrants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4"/>
                <w:szCs w:val="14"/>
                <w:color w:val="auto"/>
              </w:rPr>
              <w:t>91</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The NanoSteel Company, Inc. (2)(14)</w:t>
            </w:r>
          </w:p>
        </w:tc>
        <w:tc>
          <w:tcPr>
            <w:tcW w:w="1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Materials</w:t>
            </w:r>
          </w:p>
        </w:tc>
        <w:tc>
          <w:tcPr>
            <w:tcW w:w="3240" w:type="dxa"/>
            <w:vAlign w:val="bottom"/>
            <w:gridSpan w:val="2"/>
            <w:shd w:val="clear" w:color="auto" w:fill="CCEEFF"/>
          </w:tcPr>
          <w:p>
            <w:pPr>
              <w:ind w:left="40"/>
              <w:spacing w:after="0" w:line="146" w:lineRule="exact"/>
              <w:rPr>
                <w:sz w:val="20"/>
                <w:szCs w:val="20"/>
                <w:color w:val="auto"/>
              </w:rPr>
            </w:pPr>
            <w:r>
              <w:rPr>
                <w:rFonts w:ascii="Arial" w:cs="Arial" w:eastAsia="Arial" w:hAnsi="Arial"/>
                <w:sz w:val="14"/>
                <w:szCs w:val="14"/>
                <w:color w:val="auto"/>
              </w:rPr>
              <w:t>379,360 Preferred Stock Warrants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187</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0" w:type="dxa"/>
            <w:vAlign w:val="bottom"/>
          </w:tcPr>
          <w:p>
            <w:pPr>
              <w:spacing w:after="0"/>
              <w:rPr>
                <w:sz w:val="20"/>
                <w:szCs w:val="20"/>
                <w:color w:val="auto"/>
              </w:rPr>
            </w:pPr>
            <w:r>
              <w:rPr>
                <w:rFonts w:ascii="Arial" w:cs="Arial" w:eastAsia="Arial" w:hAnsi="Arial"/>
                <w:sz w:val="14"/>
                <w:szCs w:val="14"/>
                <w:color w:val="auto"/>
              </w:rPr>
              <w:t>Nanocomp Technologies, Inc. (2)(14)</w:t>
            </w:r>
          </w:p>
        </w:tc>
        <w:tc>
          <w:tcPr>
            <w:tcW w:w="10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Arial" w:cs="Arial" w:eastAsia="Arial" w:hAnsi="Arial"/>
                <w:sz w:val="14"/>
                <w:szCs w:val="14"/>
                <w:color w:val="auto"/>
              </w:rPr>
              <w:t>Networking</w:t>
            </w:r>
          </w:p>
        </w:tc>
        <w:tc>
          <w:tcPr>
            <w:tcW w:w="3240" w:type="dxa"/>
            <w:vAlign w:val="bottom"/>
            <w:gridSpan w:val="2"/>
          </w:tcPr>
          <w:p>
            <w:pPr>
              <w:ind w:left="40"/>
              <w:spacing w:after="0"/>
              <w:rPr>
                <w:sz w:val="20"/>
                <w:szCs w:val="20"/>
                <w:color w:val="auto"/>
              </w:rPr>
            </w:pPr>
            <w:r>
              <w:rPr>
                <w:rFonts w:ascii="Arial" w:cs="Arial" w:eastAsia="Arial" w:hAnsi="Arial"/>
                <w:sz w:val="14"/>
                <w:szCs w:val="14"/>
                <w:color w:val="auto"/>
              </w:rPr>
              <w:t>1,440,489 Preferred Stock Warrants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w:t>
            </w:r>
          </w:p>
        </w:tc>
        <w:tc>
          <w:tcPr>
            <w:tcW w:w="2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 of</w:t>
            </w:r>
          </w:p>
        </w:tc>
        <w:tc>
          <w:tcPr>
            <w:tcW w:w="140" w:type="dxa"/>
            <w:vAlign w:val="bottom"/>
          </w:tcPr>
          <w:p>
            <w:pPr>
              <w:spacing w:after="0"/>
              <w:rPr>
                <w:sz w:val="14"/>
                <w:szCs w:val="14"/>
                <w:color w:val="auto"/>
              </w:rPr>
            </w:pPr>
          </w:p>
        </w:tc>
        <w:tc>
          <w:tcPr>
            <w:tcW w:w="7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8"/>
        </w:trPr>
        <w:tc>
          <w:tcPr>
            <w:tcW w:w="272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(1)(3)</w:t>
            </w:r>
          </w:p>
        </w:tc>
        <w:tc>
          <w:tcPr>
            <w:tcW w:w="2280" w:type="dxa"/>
            <w:vAlign w:val="bottom"/>
          </w:tcPr>
          <w:p>
            <w:pPr>
              <w:ind w:left="94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3300" w:type="dxa"/>
            <w:vAlign w:val="bottom"/>
            <w:gridSpan w:val="2"/>
          </w:tcPr>
          <w:p>
            <w:pPr>
              <w:ind w:left="640"/>
              <w:spacing w:after="0"/>
              <w:rPr>
                <w:sz w:val="20"/>
                <w:szCs w:val="20"/>
                <w:color w:val="auto"/>
              </w:rPr>
            </w:pPr>
            <w:r>
              <w:rPr>
                <w:rFonts w:ascii="Arial" w:cs="Arial" w:eastAsia="Arial" w:hAnsi="Arial"/>
                <w:sz w:val="14"/>
                <w:szCs w:val="14"/>
                <w:b w:val="1"/>
                <w:bCs w:val="1"/>
                <w:color w:val="auto"/>
              </w:rPr>
              <w:t>Type of Investment (4)(7)(9)(10)</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Investments (6)</w:t>
            </w:r>
          </w:p>
        </w:tc>
        <w:tc>
          <w:tcPr>
            <w:tcW w:w="140" w:type="dxa"/>
            <w:vAlign w:val="bottom"/>
          </w:tcPr>
          <w:p>
            <w:pPr>
              <w:spacing w:after="0"/>
              <w:rPr>
                <w:sz w:val="14"/>
                <w:szCs w:val="14"/>
                <w:color w:val="auto"/>
              </w:rPr>
            </w:pPr>
          </w:p>
        </w:tc>
        <w:tc>
          <w:tcPr>
            <w:tcW w:w="7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Powerhouse Dynamics, Inc. (2)(14)</w:t>
            </w:r>
          </w:p>
        </w:tc>
        <w:tc>
          <w:tcPr>
            <w:tcW w:w="1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Power Management</w:t>
            </w:r>
          </w:p>
        </w:tc>
        <w:tc>
          <w:tcPr>
            <w:tcW w:w="10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290,698 Preferred Stock Warrants</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28</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26</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Avalanche Technology, Inc. (2)(14)</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Semiconductors</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202,602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101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40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eASIC Corporation (2)(14)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Semiconductors</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40,445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Kaminario, Inc.(14)</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Semiconductors</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1,087,203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59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44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Luxtera, Inc.(2)(14)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Semiconductors</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3,546,553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213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361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Soraa, Inc. (2)(14)</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Semiconductors</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203,616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80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438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Bolt Solutions Inc. (2)(14)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202,892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113</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99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Bridge2 Solutions, Inc. (2)(14)</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125,458 Common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433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760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Clarabridge, Inc. (14)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53,486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82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Digital Signal Corporation (14)</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125,116 Common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Education Elements, Inc. (2)(14)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238,121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Lotame Solutions, Inc. (2)(14)</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288,115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22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281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Metricly, Inc. (14)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41,569 Common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Riv Data Corp. (2)(14)</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321,428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38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ShopKeep.com, Inc. (2)(14)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193,962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118</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138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SIGNiX, Inc. (14)</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133,560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225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109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Skyword, Inc. (14)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301,056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SpringCM, Inc. (2)(14)</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2,385,686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55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132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Sys-Tech Solutions, Inc. (14)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375,000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242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464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Visage Mobile, Inc. (14)</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1,692,047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Weblinc Corporation (2)(14)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195,122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Borders>
              <w:bottom w:val="single" w:sz="8" w:color="CCEEFF"/>
            </w:tcBorders>
            <w:gridSpan w:val="2"/>
          </w:tcPr>
          <w:p>
            <w:pPr>
              <w:spacing w:after="0" w:line="159" w:lineRule="exact"/>
              <w:rPr>
                <w:sz w:val="20"/>
                <w:szCs w:val="20"/>
                <w:color w:val="auto"/>
              </w:rPr>
            </w:pPr>
            <w:r>
              <w:rPr>
                <w:rFonts w:ascii="Arial" w:cs="Arial" w:eastAsia="Arial" w:hAnsi="Arial"/>
                <w:sz w:val="14"/>
                <w:szCs w:val="14"/>
                <w:color w:val="auto"/>
              </w:rPr>
              <w:t>xAd, Inc. (2)(14)</w:t>
            </w:r>
          </w:p>
        </w:tc>
        <w:tc>
          <w:tcPr>
            <w:tcW w:w="22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Software</w:t>
            </w:r>
          </w:p>
        </w:tc>
        <w:tc>
          <w:tcPr>
            <w:tcW w:w="3400" w:type="dxa"/>
            <w:vAlign w:val="bottom"/>
            <w:tcBorders>
              <w:bottom w:val="single" w:sz="8" w:color="CCEEFF"/>
            </w:tcBorders>
            <w:gridSpan w:val="3"/>
          </w:tcPr>
          <w:p>
            <w:pPr>
              <w:ind w:left="100"/>
              <w:spacing w:after="0" w:line="159" w:lineRule="exact"/>
              <w:rPr>
                <w:sz w:val="20"/>
                <w:szCs w:val="20"/>
                <w:color w:val="auto"/>
              </w:rPr>
            </w:pPr>
            <w:r>
              <w:rPr>
                <w:rFonts w:ascii="Arial" w:cs="Arial" w:eastAsia="Arial" w:hAnsi="Arial"/>
                <w:sz w:val="14"/>
                <w:szCs w:val="14"/>
                <w:color w:val="auto"/>
              </w:rPr>
              <w:t>4,343,350 Preferred Stock Warrants</w:t>
            </w:r>
          </w:p>
        </w:tc>
        <w:tc>
          <w:tcPr>
            <w:tcW w:w="7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177</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177</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Total Non-Affiliate Warrants — Technology</w:t>
            </w: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3,962</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6,170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8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Non-Affiliate Warrants — Cleantech — 0.1% (8)</w:t>
            </w: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Renmatix, Inc. (14)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Alternative Energy</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53,022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gridSpan w:val="2"/>
          </w:tcPr>
          <w:p>
            <w:pPr>
              <w:spacing w:after="0" w:line="159" w:lineRule="exact"/>
              <w:rPr>
                <w:sz w:val="20"/>
                <w:szCs w:val="20"/>
                <w:color w:val="auto"/>
              </w:rPr>
            </w:pPr>
            <w:r>
              <w:rPr>
                <w:rFonts w:ascii="Arial" w:cs="Arial" w:eastAsia="Arial" w:hAnsi="Arial"/>
                <w:sz w:val="14"/>
                <w:szCs w:val="14"/>
                <w:color w:val="auto"/>
              </w:rPr>
              <w:t>Tigo Energy, Inc. (2)(14)</w:t>
            </w:r>
          </w:p>
        </w:tc>
        <w:tc>
          <w:tcPr>
            <w:tcW w:w="2280" w:type="dxa"/>
            <w:vAlign w:val="bottom"/>
          </w:tcPr>
          <w:p>
            <w:pPr>
              <w:spacing w:after="0" w:line="159" w:lineRule="exact"/>
              <w:rPr>
                <w:sz w:val="20"/>
                <w:szCs w:val="20"/>
                <w:color w:val="auto"/>
              </w:rPr>
            </w:pPr>
            <w:r>
              <w:rPr>
                <w:rFonts w:ascii="Arial" w:cs="Arial" w:eastAsia="Arial" w:hAnsi="Arial"/>
                <w:sz w:val="14"/>
                <w:szCs w:val="14"/>
                <w:color w:val="auto"/>
              </w:rPr>
              <w:t>Energy Efficiency</w:t>
            </w:r>
          </w:p>
        </w:tc>
        <w:tc>
          <w:tcPr>
            <w:tcW w:w="340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804,604 Preferred Stock Warrants</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tcBorders>
              <w:top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color w:val="auto"/>
              </w:rPr>
              <w:t>Total Non-Affiliate Warrants — Cleantech</w:t>
            </w:r>
          </w:p>
        </w:tc>
        <w:tc>
          <w:tcPr>
            <w:tcW w:w="2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168</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117</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8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Non-Affiliate Warrants — Healthcare information and services — 0.4% (8)</w:t>
            </w: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LifePrint Group, Inc. (2)(14)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Diagnostics</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49,000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ProterixBio, Inc. (2)(14)</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Diagnostics</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3,156 Common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54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Singulex, Inc. (14)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Other Healthcare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294,231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Verity Solutions Group, Inc. (14)</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Other Healthcare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300,360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Watermark Medical, Inc. (2)(14)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Other Healthcare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27,373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59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HealthEdge Software, Inc. (2)(14)</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110,644 Preferred Stock Warrants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46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Medsphere Systems Corporation (2)(14)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Software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7,097,792 Preferred Stock Warrants</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60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208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Borders>
              <w:bottom w:val="single" w:sz="8" w:color="CCEEFF"/>
            </w:tcBorders>
            <w:gridSpan w:val="2"/>
          </w:tcPr>
          <w:p>
            <w:pPr>
              <w:spacing w:after="0" w:line="159" w:lineRule="exact"/>
              <w:rPr>
                <w:sz w:val="20"/>
                <w:szCs w:val="20"/>
                <w:color w:val="auto"/>
              </w:rPr>
            </w:pPr>
            <w:r>
              <w:rPr>
                <w:rFonts w:ascii="Arial" w:cs="Arial" w:eastAsia="Arial" w:hAnsi="Arial"/>
                <w:sz w:val="14"/>
                <w:szCs w:val="14"/>
                <w:color w:val="auto"/>
              </w:rPr>
              <w:t>Recondo Technology, Inc. (2)(14)</w:t>
            </w:r>
          </w:p>
        </w:tc>
        <w:tc>
          <w:tcPr>
            <w:tcW w:w="22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Software</w:t>
            </w:r>
          </w:p>
        </w:tc>
        <w:tc>
          <w:tcPr>
            <w:tcW w:w="3400" w:type="dxa"/>
            <w:vAlign w:val="bottom"/>
            <w:tcBorders>
              <w:bottom w:val="single" w:sz="8" w:color="CCEEFF"/>
            </w:tcBorders>
            <w:gridSpan w:val="3"/>
          </w:tcPr>
          <w:p>
            <w:pPr>
              <w:ind w:left="100"/>
              <w:spacing w:after="0" w:line="159" w:lineRule="exact"/>
              <w:rPr>
                <w:sz w:val="20"/>
                <w:szCs w:val="20"/>
                <w:color w:val="auto"/>
              </w:rPr>
            </w:pPr>
            <w:r>
              <w:rPr>
                <w:rFonts w:ascii="Arial" w:cs="Arial" w:eastAsia="Arial" w:hAnsi="Arial"/>
                <w:sz w:val="14"/>
                <w:szCs w:val="14"/>
                <w:color w:val="auto"/>
              </w:rPr>
              <w:t>556,796 Preferred Stock Warrants</w:t>
            </w:r>
          </w:p>
        </w:tc>
        <w:tc>
          <w:tcPr>
            <w:tcW w:w="7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95</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207</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8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Total Non-Affiliate Warrants — Healthcare information and services</w:t>
            </w: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502</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628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tcBorders>
              <w:bottom w:val="single" w:sz="8" w:color="CCEEFF"/>
            </w:tcBorders>
            <w:gridSpan w:val="2"/>
          </w:tcPr>
          <w:p>
            <w:pPr>
              <w:spacing w:after="0" w:line="139" w:lineRule="exact"/>
              <w:rPr>
                <w:sz w:val="20"/>
                <w:szCs w:val="20"/>
                <w:color w:val="auto"/>
              </w:rPr>
            </w:pPr>
            <w:r>
              <w:rPr>
                <w:rFonts w:ascii="Arial" w:cs="Arial" w:eastAsia="Arial" w:hAnsi="Arial"/>
                <w:sz w:val="14"/>
                <w:szCs w:val="14"/>
                <w:b w:val="1"/>
                <w:bCs w:val="1"/>
                <w:color w:val="auto"/>
              </w:rPr>
              <w:t>Total Non-Affiliate Warrants</w:t>
            </w:r>
          </w:p>
        </w:tc>
        <w:tc>
          <w:tcPr>
            <w:tcW w:w="2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6,136</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9,090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w w:val="94"/>
              </w:rPr>
              <w:t>Non-Affiliate Other Investments — 5.7% (8)</w:t>
            </w: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Espero Pharmaceuticals, Inc. (14)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Royalty Agreement</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5,300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4"/>
                <w:szCs w:val="14"/>
                <w:color w:val="auto"/>
              </w:rPr>
              <w:t>4,700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ZetrOZ, Inc. (14)</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Medical Device</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Royalty Agreement</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305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700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Vette Technology, LLC (14)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Data Storage</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Royalty Agreement Due 4/18/2019</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4,226</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gridSpan w:val="2"/>
          </w:tcPr>
          <w:p>
            <w:pPr>
              <w:spacing w:after="0" w:line="159" w:lineRule="exact"/>
              <w:rPr>
                <w:sz w:val="20"/>
                <w:szCs w:val="20"/>
                <w:color w:val="auto"/>
              </w:rPr>
            </w:pPr>
            <w:r>
              <w:rPr>
                <w:rFonts w:ascii="Arial" w:cs="Arial" w:eastAsia="Arial" w:hAnsi="Arial"/>
                <w:sz w:val="14"/>
                <w:szCs w:val="14"/>
                <w:color w:val="auto"/>
              </w:rPr>
              <w:t>Triple Double Holdings, LLC (14)</w:t>
            </w:r>
          </w:p>
        </w:tc>
        <w:tc>
          <w:tcPr>
            <w:tcW w:w="2280" w:type="dxa"/>
            <w:vAlign w:val="bottom"/>
          </w:tcPr>
          <w:p>
            <w:pPr>
              <w:spacing w:after="0" w:line="159" w:lineRule="exact"/>
              <w:rPr>
                <w:sz w:val="20"/>
                <w:szCs w:val="20"/>
                <w:color w:val="auto"/>
              </w:rPr>
            </w:pPr>
            <w:r>
              <w:rPr>
                <w:rFonts w:ascii="Arial" w:cs="Arial" w:eastAsia="Arial" w:hAnsi="Arial"/>
                <w:sz w:val="14"/>
                <w:szCs w:val="14"/>
                <w:color w:val="auto"/>
              </w:rPr>
              <w:t>Software</w:t>
            </w:r>
          </w:p>
        </w:tc>
        <w:tc>
          <w:tcPr>
            <w:tcW w:w="340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License Agreement</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2,200</w:t>
            </w:r>
          </w:p>
        </w:tc>
        <w:tc>
          <w:tcPr>
            <w:tcW w:w="140" w:type="dxa"/>
            <w:vAlign w:val="bottom"/>
          </w:tcPr>
          <w:p>
            <w:pPr>
              <w:spacing w:after="0"/>
              <w:rPr>
                <w:sz w:val="13"/>
                <w:szCs w:val="13"/>
                <w:color w:val="auto"/>
              </w:rPr>
            </w:pPr>
          </w:p>
        </w:tc>
        <w:tc>
          <w:tcPr>
            <w:tcW w:w="6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2,200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tcBorders>
              <w:top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Total Non-Affiliate Other Investments</w:t>
            </w:r>
          </w:p>
        </w:tc>
        <w:tc>
          <w:tcPr>
            <w:tcW w:w="2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12,031</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7,700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Non-Affiliate Equity — 1.0% (8)</w:t>
            </w: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Insmed Incorporated (5)</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33,208 Common Stock</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238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auto"/>
              </w:rPr>
              <w:t>1,035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Revance Therapeutics, Inc.(5)</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5,125 Common Stock</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183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color w:val="auto"/>
              </w:rPr>
              <w:t>Sunesis Pharmaceuticals, Inc. (5)</w:t>
            </w:r>
          </w:p>
        </w:tc>
        <w:tc>
          <w:tcPr>
            <w:tcW w:w="2280" w:type="dxa"/>
            <w:vAlign w:val="bottom"/>
          </w:tcPr>
          <w:p>
            <w:pPr>
              <w:spacing w:after="0" w:line="146" w:lineRule="exact"/>
              <w:rPr>
                <w:sz w:val="20"/>
                <w:szCs w:val="20"/>
                <w:color w:val="auto"/>
              </w:rPr>
            </w:pPr>
            <w:r>
              <w:rPr>
                <w:rFonts w:ascii="Arial" w:cs="Arial" w:eastAsia="Arial" w:hAnsi="Arial"/>
                <w:sz w:val="14"/>
                <w:szCs w:val="14"/>
                <w:color w:val="auto"/>
              </w:rPr>
              <w:t>Biotechnology</w:t>
            </w:r>
          </w:p>
        </w:tc>
        <w:tc>
          <w:tcPr>
            <w:tcW w:w="3400" w:type="dxa"/>
            <w:vAlign w:val="bottom"/>
            <w:gridSpan w:val="3"/>
          </w:tcPr>
          <w:p>
            <w:pPr>
              <w:ind w:left="100"/>
              <w:spacing w:after="0" w:line="146" w:lineRule="exact"/>
              <w:rPr>
                <w:sz w:val="20"/>
                <w:szCs w:val="20"/>
                <w:color w:val="auto"/>
              </w:rPr>
            </w:pPr>
            <w:r>
              <w:rPr>
                <w:rFonts w:ascii="Arial" w:cs="Arial" w:eastAsia="Arial" w:hAnsi="Arial"/>
                <w:sz w:val="14"/>
                <w:szCs w:val="14"/>
                <w:color w:val="auto"/>
              </w:rPr>
              <w:t>13,082 Common Stock</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rPr>
              <w:t>83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SnagAJob.com, Inc. (14)</w:t>
            </w:r>
          </w:p>
        </w:tc>
        <w:tc>
          <w:tcPr>
            <w:tcW w:w="22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Consumer-related Technologies</w:t>
            </w:r>
          </w:p>
        </w:tc>
        <w:tc>
          <w:tcPr>
            <w:tcW w:w="3400" w:type="dxa"/>
            <w:vAlign w:val="bottom"/>
            <w:gridSpan w:val="3"/>
            <w:shd w:val="clear" w:color="auto" w:fill="CCEEFF"/>
          </w:tcPr>
          <w:p>
            <w:pPr>
              <w:ind w:left="100"/>
              <w:spacing w:after="0" w:line="146" w:lineRule="exact"/>
              <w:rPr>
                <w:sz w:val="20"/>
                <w:szCs w:val="20"/>
                <w:color w:val="auto"/>
              </w:rPr>
            </w:pPr>
            <w:r>
              <w:rPr>
                <w:rFonts w:ascii="Arial" w:cs="Arial" w:eastAsia="Arial" w:hAnsi="Arial"/>
                <w:sz w:val="14"/>
                <w:szCs w:val="14"/>
                <w:color w:val="auto"/>
              </w:rPr>
              <w:t>82,974 Common Stock</w:t>
            </w: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83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Borders>
              <w:bottom w:val="single" w:sz="8" w:color="CCEEFF"/>
            </w:tcBorders>
            <w:gridSpan w:val="2"/>
          </w:tcPr>
          <w:p>
            <w:pPr>
              <w:spacing w:after="0" w:line="159" w:lineRule="exact"/>
              <w:rPr>
                <w:sz w:val="20"/>
                <w:szCs w:val="20"/>
                <w:color w:val="auto"/>
              </w:rPr>
            </w:pPr>
            <w:r>
              <w:rPr>
                <w:rFonts w:ascii="Arial" w:cs="Arial" w:eastAsia="Arial" w:hAnsi="Arial"/>
                <w:sz w:val="14"/>
                <w:szCs w:val="14"/>
                <w:color w:val="auto"/>
              </w:rPr>
              <w:t>TruSignal, Inc. (14)</w:t>
            </w:r>
          </w:p>
        </w:tc>
        <w:tc>
          <w:tcPr>
            <w:tcW w:w="228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Software</w:t>
            </w:r>
          </w:p>
        </w:tc>
        <w:tc>
          <w:tcPr>
            <w:tcW w:w="3400" w:type="dxa"/>
            <w:vAlign w:val="bottom"/>
            <w:tcBorders>
              <w:bottom w:val="single" w:sz="8" w:color="CCEEFF"/>
            </w:tcBorders>
            <w:gridSpan w:val="3"/>
          </w:tcPr>
          <w:p>
            <w:pPr>
              <w:ind w:left="100"/>
              <w:spacing w:after="0" w:line="159" w:lineRule="exact"/>
              <w:rPr>
                <w:sz w:val="20"/>
                <w:szCs w:val="20"/>
                <w:color w:val="auto"/>
              </w:rPr>
            </w:pPr>
            <w:r>
              <w:rPr>
                <w:rFonts w:ascii="Arial" w:cs="Arial" w:eastAsia="Arial" w:hAnsi="Arial"/>
                <w:sz w:val="14"/>
                <w:szCs w:val="14"/>
                <w:color w:val="auto"/>
              </w:rPr>
              <w:t>32,637 Common Stock</w:t>
            </w:r>
          </w:p>
        </w:tc>
        <w:tc>
          <w:tcPr>
            <w:tcW w:w="7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41</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41</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Total Non-Affiliate Equity</w:t>
            </w:r>
          </w:p>
        </w:tc>
        <w:tc>
          <w:tcPr>
            <w:tcW w:w="2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444</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1,391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98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Total Non-Affiliate Portfolio Investment Assets</w:t>
            </w:r>
          </w:p>
        </w:tc>
        <w:tc>
          <w:tcPr>
            <w:tcW w:w="1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219,303</w:t>
            </w:r>
          </w:p>
        </w:tc>
        <w:tc>
          <w:tcPr>
            <w:tcW w:w="220" w:type="dxa"/>
            <w:vAlign w:val="bottom"/>
          </w:tcPr>
          <w:p>
            <w:pPr>
              <w:spacing w:after="0"/>
              <w:rPr>
                <w:sz w:val="13"/>
                <w:szCs w:val="13"/>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218,600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 of</w:t>
            </w:r>
          </w:p>
        </w:tc>
        <w:tc>
          <w:tcPr>
            <w:tcW w:w="1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8"/>
        </w:trPr>
        <w:tc>
          <w:tcPr>
            <w:tcW w:w="272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(1)(3)</w:t>
            </w:r>
          </w:p>
        </w:tc>
        <w:tc>
          <w:tcPr>
            <w:tcW w:w="140" w:type="dxa"/>
            <w:vAlign w:val="bottom"/>
          </w:tcPr>
          <w:p>
            <w:pPr>
              <w:spacing w:after="0"/>
              <w:rPr>
                <w:sz w:val="14"/>
                <w:szCs w:val="14"/>
                <w:color w:val="auto"/>
              </w:rPr>
            </w:pPr>
          </w:p>
        </w:tc>
        <w:tc>
          <w:tcPr>
            <w:tcW w:w="2140" w:type="dxa"/>
            <w:vAlign w:val="bottom"/>
          </w:tcPr>
          <w:p>
            <w:pPr>
              <w:ind w:left="80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3200" w:type="dxa"/>
            <w:vAlign w:val="bottom"/>
          </w:tcPr>
          <w:p>
            <w:pPr>
              <w:ind w:left="640"/>
              <w:spacing w:after="0"/>
              <w:rPr>
                <w:sz w:val="20"/>
                <w:szCs w:val="20"/>
                <w:color w:val="auto"/>
              </w:rPr>
            </w:pPr>
            <w:r>
              <w:rPr>
                <w:rFonts w:ascii="Arial" w:cs="Arial" w:eastAsia="Arial" w:hAnsi="Arial"/>
                <w:sz w:val="14"/>
                <w:szCs w:val="14"/>
                <w:b w:val="1"/>
                <w:bCs w:val="1"/>
                <w:color w:val="auto"/>
              </w:rPr>
              <w:t>Type of Investment (4)(7)(9)(10)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Amount</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Investments (6)</w:t>
            </w:r>
          </w:p>
        </w:tc>
        <w:tc>
          <w:tcPr>
            <w:tcW w:w="1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tcBorders>
              <w:top w:val="single" w:sz="8" w:color="auto"/>
            </w:tcBorders>
            <w:gridSpan w:val="2"/>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Affiliate Investments — 2.6% (8)</w:t>
            </w:r>
          </w:p>
        </w:tc>
        <w:tc>
          <w:tcPr>
            <w:tcW w:w="140" w:type="dxa"/>
            <w:vAlign w:val="bottom"/>
            <w:tcBorders>
              <w:top w:val="single" w:sz="8" w:color="auto"/>
            </w:tcBorders>
            <w:shd w:val="clear" w:color="auto" w:fill="CCEEFF"/>
          </w:tcPr>
          <w:p>
            <w:pPr>
              <w:spacing w:after="0"/>
              <w:rPr>
                <w:sz w:val="12"/>
                <w:szCs w:val="12"/>
                <w:color w:val="auto"/>
              </w:rPr>
            </w:pPr>
          </w:p>
        </w:tc>
        <w:tc>
          <w:tcPr>
            <w:tcW w:w="2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80" w:type="dxa"/>
            <w:vAlign w:val="bottom"/>
            <w:gridSpan w:val="4"/>
          </w:tcPr>
          <w:p>
            <w:pPr>
              <w:spacing w:after="0" w:line="146" w:lineRule="exact"/>
              <w:rPr>
                <w:sz w:val="20"/>
                <w:szCs w:val="20"/>
                <w:color w:val="auto"/>
              </w:rPr>
            </w:pPr>
            <w:r>
              <w:rPr>
                <w:rFonts w:ascii="Arial" w:cs="Arial" w:eastAsia="Arial" w:hAnsi="Arial"/>
                <w:sz w:val="14"/>
                <w:szCs w:val="14"/>
                <w:b w:val="1"/>
                <w:bCs w:val="1"/>
                <w:color w:val="auto"/>
              </w:rPr>
              <w:t>Affiliate Debt Investments — Technology — 2.5% (8)</w:t>
            </w: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60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Decisyon, Inc. (14)</w:t>
            </w:r>
          </w:p>
        </w:tc>
        <w:tc>
          <w:tcPr>
            <w:tcW w:w="10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spacing w:after="0" w:line="127" w:lineRule="exact"/>
              <w:rPr>
                <w:sz w:val="20"/>
                <w:szCs w:val="20"/>
                <w:color w:val="auto"/>
              </w:rPr>
            </w:pPr>
            <w:r>
              <w:rPr>
                <w:rFonts w:ascii="Arial" w:cs="Arial" w:eastAsia="Arial" w:hAnsi="Arial"/>
                <w:sz w:val="14"/>
                <w:szCs w:val="14"/>
                <w:color w:val="auto"/>
              </w:rPr>
              <w:t>Software</w:t>
            </w:r>
          </w:p>
        </w:tc>
        <w:tc>
          <w:tcPr>
            <w:tcW w:w="3300" w:type="dxa"/>
            <w:vAlign w:val="bottom"/>
            <w:gridSpan w:val="2"/>
            <w:shd w:val="clear" w:color="auto" w:fill="CCEEFF"/>
          </w:tcPr>
          <w:p>
            <w:pPr>
              <w:ind w:left="100"/>
              <w:spacing w:after="0" w:line="127" w:lineRule="exact"/>
              <w:rPr>
                <w:sz w:val="20"/>
                <w:szCs w:val="20"/>
                <w:color w:val="auto"/>
              </w:rPr>
            </w:pPr>
            <w:r>
              <w:rPr>
                <w:rFonts w:ascii="Arial" w:cs="Arial" w:eastAsia="Arial" w:hAnsi="Arial"/>
                <w:sz w:val="14"/>
                <w:szCs w:val="14"/>
                <w:color w:val="auto"/>
              </w:rPr>
              <w:t>Term Loan (13.678% cash (Libor + 12.308%; Floor</w:t>
            </w:r>
          </w:p>
        </w:tc>
        <w:tc>
          <w:tcPr>
            <w:tcW w:w="200" w:type="dxa"/>
            <w:vAlign w:val="bottom"/>
            <w:gridSpan w:val="2"/>
            <w:shd w:val="clear" w:color="auto" w:fill="CCEEFF"/>
          </w:tcPr>
          <w:p>
            <w:pPr>
              <w:jc w:val="right"/>
              <w:ind w:right="40"/>
              <w:spacing w:after="0" w:line="12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1,523</w:t>
            </w:r>
          </w:p>
        </w:tc>
        <w:tc>
          <w:tcPr>
            <w:tcW w:w="16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1,522</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1,449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12.50%), 8.00% ETP, Due 1/1/20)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4"/>
                <w:szCs w:val="14"/>
                <w:color w:val="auto"/>
              </w:rPr>
              <w:t>Term Loan (13.678% cash (Libor + 12.308%; Floor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833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771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12.50%), 8.00% ETP, Due 1/1/20)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(12.02% PIK, Due 4/15/19) (13)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250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250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Term Loan (12.03% PIK, Due 4/15/19) (13)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250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250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Term Loan (12.24% PIK, Due 4/15/19) (13)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2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0" w:type="dxa"/>
            <w:vAlign w:val="bottom"/>
            <w:tcBorders>
              <w:bottom w:val="single" w:sz="8" w:color="CCEEFF"/>
            </w:tcBorders>
          </w:tcPr>
          <w:p>
            <w:pPr>
              <w:spacing w:after="0" w:line="139" w:lineRule="exact"/>
              <w:rPr>
                <w:sz w:val="20"/>
                <w:szCs w:val="20"/>
                <w:color w:val="auto"/>
              </w:rPr>
            </w:pPr>
            <w:r>
              <w:rPr>
                <w:rFonts w:ascii="Arial" w:cs="Arial" w:eastAsia="Arial" w:hAnsi="Arial"/>
                <w:sz w:val="14"/>
                <w:szCs w:val="14"/>
                <w:color w:val="auto"/>
                <w:w w:val="89"/>
              </w:rPr>
              <w:t>Total Affiliate Debt Investments — Technology</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3,543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3,374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980" w:type="dxa"/>
            <w:vAlign w:val="bottom"/>
            <w:gridSpan w:val="4"/>
          </w:tcPr>
          <w:p>
            <w:pPr>
              <w:spacing w:after="0" w:line="146" w:lineRule="exact"/>
              <w:rPr>
                <w:sz w:val="20"/>
                <w:szCs w:val="20"/>
                <w:color w:val="auto"/>
              </w:rPr>
            </w:pPr>
            <w:r>
              <w:rPr>
                <w:rFonts w:ascii="Arial" w:cs="Arial" w:eastAsia="Arial" w:hAnsi="Arial"/>
                <w:sz w:val="14"/>
                <w:szCs w:val="14"/>
                <w:b w:val="1"/>
                <w:bCs w:val="1"/>
                <w:color w:val="auto"/>
              </w:rPr>
              <w:t>Affiliate Warrants — Technology — 0.0% (8)</w:t>
            </w: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Decisyon, Inc. (14)</w:t>
            </w:r>
          </w:p>
        </w:tc>
        <w:tc>
          <w:tcPr>
            <w:tcW w:w="22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Software</w:t>
            </w:r>
          </w:p>
        </w:tc>
        <w:tc>
          <w:tcPr>
            <w:tcW w:w="33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82,967 Common Stock Warrants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tcBorders>
              <w:bottom w:val="single" w:sz="8" w:color="CCEEFF"/>
            </w:tcBorders>
            <w:gridSpan w:val="2"/>
          </w:tcPr>
          <w:p>
            <w:pPr>
              <w:spacing w:after="0" w:line="139" w:lineRule="exact"/>
              <w:rPr>
                <w:sz w:val="20"/>
                <w:szCs w:val="20"/>
                <w:color w:val="auto"/>
              </w:rPr>
            </w:pPr>
            <w:r>
              <w:rPr>
                <w:rFonts w:ascii="Arial" w:cs="Arial" w:eastAsia="Arial" w:hAnsi="Arial"/>
                <w:sz w:val="14"/>
                <w:szCs w:val="14"/>
                <w:color w:val="auto"/>
              </w:rPr>
              <w:t>Total Affiliate Warrants — Technology</w:t>
            </w:r>
          </w:p>
        </w:tc>
        <w:tc>
          <w:tcPr>
            <w:tcW w:w="14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46</w:t>
            </w: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w w:val="98"/>
              </w:rPr>
              <w:t>Affiliate Equity — Technology — 0.1% (8)</w:t>
            </w:r>
          </w:p>
        </w:tc>
        <w:tc>
          <w:tcPr>
            <w:tcW w:w="1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Decisyon, Inc. (14)</w:t>
            </w:r>
          </w:p>
        </w:tc>
        <w:tc>
          <w:tcPr>
            <w:tcW w:w="22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Software</w:t>
            </w:r>
          </w:p>
        </w:tc>
        <w:tc>
          <w:tcPr>
            <w:tcW w:w="33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45,365,936 Common Stock</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185</w:t>
            </w:r>
          </w:p>
        </w:tc>
        <w:tc>
          <w:tcPr>
            <w:tcW w:w="2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tcBorders>
              <w:bottom w:val="single" w:sz="8" w:color="CCEEFF"/>
            </w:tcBorders>
            <w:gridSpan w:val="2"/>
          </w:tcPr>
          <w:p>
            <w:pPr>
              <w:spacing w:after="0" w:line="139" w:lineRule="exact"/>
              <w:rPr>
                <w:sz w:val="20"/>
                <w:szCs w:val="20"/>
                <w:color w:val="auto"/>
              </w:rPr>
            </w:pPr>
            <w:r>
              <w:rPr>
                <w:rFonts w:ascii="Arial" w:cs="Arial" w:eastAsia="Arial" w:hAnsi="Arial"/>
                <w:sz w:val="14"/>
                <w:szCs w:val="14"/>
                <w:b w:val="1"/>
                <w:bCs w:val="1"/>
                <w:color w:val="auto"/>
              </w:rPr>
              <w:t>Total Affiliate Equity</w:t>
            </w:r>
          </w:p>
        </w:tc>
        <w:tc>
          <w:tcPr>
            <w:tcW w:w="14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185</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00" w:type="dxa"/>
            <w:vAlign w:val="bottom"/>
            <w:tcBorders>
              <w:bottom w:val="single" w:sz="8" w:color="CCEEFF"/>
            </w:tcBorders>
            <w:gridSpan w:val="2"/>
            <w:shd w:val="clear" w:color="auto" w:fill="CCEEFF"/>
          </w:tcPr>
          <w:p>
            <w:pPr>
              <w:spacing w:after="0" w:line="153" w:lineRule="exact"/>
              <w:rPr>
                <w:sz w:val="20"/>
                <w:szCs w:val="20"/>
                <w:color w:val="auto"/>
              </w:rPr>
            </w:pPr>
            <w:r>
              <w:rPr>
                <w:rFonts w:ascii="Arial" w:cs="Arial" w:eastAsia="Arial" w:hAnsi="Arial"/>
                <w:sz w:val="14"/>
                <w:szCs w:val="14"/>
                <w:b w:val="1"/>
                <w:bCs w:val="1"/>
                <w:color w:val="auto"/>
                <w:w w:val="96"/>
              </w:rPr>
              <w:t>Total Affiliate Portfolio Investment Assets</w:t>
            </w:r>
          </w:p>
        </w:tc>
        <w:tc>
          <w:tcPr>
            <w:tcW w:w="140" w:type="dxa"/>
            <w:vAlign w:val="bottom"/>
            <w:tcBorders>
              <w:bottom w:val="single" w:sz="8" w:color="CCEEFF"/>
            </w:tcBorders>
            <w:shd w:val="clear" w:color="auto" w:fill="CCEEFF"/>
          </w:tcPr>
          <w:p>
            <w:pPr>
              <w:spacing w:after="0"/>
              <w:rPr>
                <w:sz w:val="13"/>
                <w:szCs w:val="13"/>
                <w:color w:val="auto"/>
              </w:rPr>
            </w:pPr>
          </w:p>
        </w:tc>
        <w:tc>
          <w:tcPr>
            <w:tcW w:w="2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3,774</w:t>
            </w: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3,499</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restart"/>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98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Total Portfolio Investment Assets — 164.4%(8)</w:t>
            </w:r>
          </w:p>
        </w:tc>
        <w:tc>
          <w:tcPr>
            <w:tcW w:w="10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223,077</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80" w:hanging="374"/>
        <w:spacing w:after="0" w:line="265"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investments of the Company are in entities which are organized under the laws of the United States and have a principal place of business in the United States.</w:t>
      </w:r>
    </w:p>
    <w:p>
      <w:pPr>
        <w:spacing w:after="0" w:line="179" w:lineRule="exact"/>
        <w:rPr>
          <w:rFonts w:ascii="Arial" w:cs="Arial" w:eastAsia="Arial" w:hAnsi="Arial"/>
          <w:sz w:val="18"/>
          <w:szCs w:val="18"/>
          <w:color w:val="auto"/>
        </w:rPr>
      </w:pPr>
    </w:p>
    <w:p>
      <w:pPr>
        <w:ind w:left="380" w:hanging="374"/>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Has been pledged as collateral under the Key Facility.</w:t>
      </w:r>
    </w:p>
    <w:p>
      <w:pPr>
        <w:spacing w:after="0" w:line="217" w:lineRule="exact"/>
        <w:rPr>
          <w:rFonts w:ascii="Arial" w:cs="Arial" w:eastAsia="Arial" w:hAnsi="Arial"/>
          <w:sz w:val="18"/>
          <w:szCs w:val="18"/>
          <w:color w:val="auto"/>
        </w:rPr>
      </w:pPr>
    </w:p>
    <w:p>
      <w:pPr>
        <w:ind w:left="380" w:hanging="374"/>
        <w:spacing w:after="0" w:line="294"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 non-affiliate investments are investments in which the Company owns less than 5% ownership of the voting securities of the portfolio company. All affiliate investments are investments in which the Company owns 5% or more of the voting securities of the portfolio company.</w:t>
      </w:r>
    </w:p>
    <w:p>
      <w:pPr>
        <w:spacing w:after="0" w:line="157" w:lineRule="exact"/>
        <w:rPr>
          <w:rFonts w:ascii="Arial" w:cs="Arial" w:eastAsia="Arial" w:hAnsi="Arial"/>
          <w:sz w:val="17"/>
          <w:szCs w:val="17"/>
          <w:color w:val="auto"/>
        </w:rPr>
      </w:pPr>
    </w:p>
    <w:p>
      <w:pPr>
        <w:jc w:val="both"/>
        <w:ind w:left="380" w:hanging="374"/>
        <w:spacing w:after="0" w:line="250"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the Company’s debt investments. Interest rate is the annual interest rate on the debt investment and does not include ETPs and any additional fees related to the investments, such as deferred interest, commitment fees or prepayment fees. Debt investments are at fixed rates for the term of the debt investment, unless otherwise indicated. All debt investments based on LIBOR are based on one-month LIBOR. For each debt investment, the current interest rate in effect as of December 31, 2017 is provided.</w:t>
      </w:r>
    </w:p>
    <w:p>
      <w:pPr>
        <w:spacing w:after="0" w:line="194" w:lineRule="exact"/>
        <w:rPr>
          <w:rFonts w:ascii="Arial" w:cs="Arial" w:eastAsia="Arial" w:hAnsi="Arial"/>
          <w:sz w:val="18"/>
          <w:szCs w:val="18"/>
          <w:color w:val="auto"/>
        </w:rPr>
      </w:pPr>
    </w:p>
    <w:p>
      <w:pPr>
        <w:ind w:left="380" w:hanging="374"/>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17" w:lineRule="exact"/>
        <w:rPr>
          <w:rFonts w:ascii="Arial" w:cs="Arial" w:eastAsia="Arial" w:hAnsi="Arial"/>
          <w:sz w:val="18"/>
          <w:szCs w:val="18"/>
          <w:color w:val="auto"/>
        </w:rPr>
      </w:pPr>
    </w:p>
    <w:p>
      <w:pPr>
        <w:ind w:left="380" w:hanging="374"/>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17" w:lineRule="exact"/>
        <w:rPr>
          <w:rFonts w:ascii="Arial" w:cs="Arial" w:eastAsia="Arial" w:hAnsi="Arial"/>
          <w:sz w:val="18"/>
          <w:szCs w:val="18"/>
          <w:color w:val="auto"/>
        </w:rPr>
      </w:pPr>
    </w:p>
    <w:p>
      <w:pPr>
        <w:ind w:left="380" w:hanging="374"/>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Warrants, Equity and Other Investments are non-income producing.</w:t>
      </w:r>
    </w:p>
    <w:p>
      <w:pPr>
        <w:spacing w:after="0" w:line="217" w:lineRule="exact"/>
        <w:rPr>
          <w:rFonts w:ascii="Arial" w:cs="Arial" w:eastAsia="Arial" w:hAnsi="Arial"/>
          <w:sz w:val="18"/>
          <w:szCs w:val="18"/>
          <w:color w:val="auto"/>
        </w:rPr>
      </w:pPr>
    </w:p>
    <w:p>
      <w:pPr>
        <w:ind w:left="380" w:hanging="374"/>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Value as a percent of net assets.</w:t>
      </w:r>
    </w:p>
    <w:p>
      <w:pPr>
        <w:spacing w:after="0" w:line="217" w:lineRule="exact"/>
        <w:rPr>
          <w:rFonts w:ascii="Arial" w:cs="Arial" w:eastAsia="Arial" w:hAnsi="Arial"/>
          <w:sz w:val="18"/>
          <w:szCs w:val="18"/>
          <w:color w:val="auto"/>
        </w:rPr>
      </w:pPr>
    </w:p>
    <w:p>
      <w:pPr>
        <w:jc w:val="both"/>
        <w:ind w:left="380" w:hanging="374"/>
        <w:spacing w:after="0" w:line="366" w:lineRule="auto"/>
        <w:tabs>
          <w:tab w:leader="none" w:pos="3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Company did not have any non-qualifying assets under Section 55(a) of the 1940 Act as of December 31, 2017. Under the 1940 Act, the Company may not acquire any non-qualifying assets unless, at the time the acquisition is made, qualifying assets represent at least 70% of the Company’s total assets.</w:t>
      </w:r>
    </w:p>
    <w:p>
      <w:pPr>
        <w:spacing w:after="0" w:line="110" w:lineRule="exact"/>
        <w:rPr>
          <w:rFonts w:ascii="Arial" w:cs="Arial" w:eastAsia="Arial" w:hAnsi="Arial"/>
          <w:sz w:val="15"/>
          <w:szCs w:val="15"/>
          <w:color w:val="auto"/>
        </w:rPr>
      </w:pPr>
    </w:p>
    <w:p>
      <w:pPr>
        <w:jc w:val="both"/>
        <w:ind w:left="380" w:hanging="374"/>
        <w:spacing w:after="0" w:line="252"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91" w:lineRule="exact"/>
        <w:rPr>
          <w:rFonts w:ascii="Arial" w:cs="Arial" w:eastAsia="Arial" w:hAnsi="Arial"/>
          <w:sz w:val="18"/>
          <w:szCs w:val="18"/>
          <w:color w:val="auto"/>
        </w:rPr>
      </w:pPr>
    </w:p>
    <w:p>
      <w:pPr>
        <w:ind w:left="380" w:hanging="374"/>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Debt investment is on non-accrual status as of December 31, 2017.</w:t>
      </w:r>
    </w:p>
    <w:p>
      <w:pPr>
        <w:spacing w:after="0" w:line="217" w:lineRule="exact"/>
        <w:rPr>
          <w:rFonts w:ascii="Arial" w:cs="Arial" w:eastAsia="Arial" w:hAnsi="Arial"/>
          <w:sz w:val="18"/>
          <w:szCs w:val="18"/>
          <w:color w:val="auto"/>
        </w:rPr>
      </w:pPr>
    </w:p>
    <w:p>
      <w:pPr>
        <w:jc w:val="both"/>
        <w:ind w:left="380" w:hanging="374"/>
        <w:spacing w:after="0" w:line="255"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Digital Signal Corporation, a Delaware corporation (“DSC”), made an assignment for the benefit of its creditors whereby DSC assigned all of its assets to DSC (assignment for the benefit of creditors), LLC, a Delaware limited liability company, established under Delaware law to effectuate the Assignment for the Benefit of Creditors of DSC.</w:t>
      </w:r>
    </w:p>
    <w:p>
      <w:pPr>
        <w:spacing w:after="0" w:line="188" w:lineRule="exact"/>
        <w:rPr>
          <w:rFonts w:ascii="Arial" w:cs="Arial" w:eastAsia="Arial" w:hAnsi="Arial"/>
          <w:sz w:val="18"/>
          <w:szCs w:val="18"/>
          <w:color w:val="auto"/>
        </w:rPr>
      </w:pPr>
    </w:p>
    <w:p>
      <w:pPr>
        <w:ind w:left="380" w:hanging="374"/>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Debt investment has a PIK feature.</w:t>
      </w:r>
    </w:p>
    <w:p>
      <w:pPr>
        <w:spacing w:after="0" w:line="217" w:lineRule="exact"/>
        <w:rPr>
          <w:rFonts w:ascii="Arial" w:cs="Arial" w:eastAsia="Arial" w:hAnsi="Arial"/>
          <w:sz w:val="18"/>
          <w:szCs w:val="18"/>
          <w:color w:val="auto"/>
        </w:rPr>
      </w:pPr>
    </w:p>
    <w:p>
      <w:pPr>
        <w:ind w:left="380" w:hanging="374"/>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129"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3"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Horizon Technology Finance Corporation (the “Company”) was organized as a Delaware corporation on March 16, 2010 and is an externally managed, non-diversified, closed-end investment company. The Company has elected to be regulated as a business development company (“BDC”) under the 1940 Act. In addition, for tax purposes, the Company has elected to be treated as a regulated investment company (“RIC”) as defined under Subchapter M of the Internal Revenue Code of 1986, as amended (the “Code”). As a RIC, the Company generally is not subject to corporate-level federal income tax on the portion of its taxable income (including net capital gains) the Company distributes to its stockholders. The Company primarily makes secured debt investments to development-stage companies in the technology, life science, healthcare information and services and cleantech industries. All of the Company’s debt investments consist of loans secured by all of, or a portion of, the applicable debtor company’s tangible and intangible assets.</w:t>
      </w:r>
    </w:p>
    <w:p>
      <w:pPr>
        <w:spacing w:after="0" w:line="15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October 28, 2010, the Company completed an initial public offering (“IPO”) and its common stock trades on the Nasdaq Global Select Market under the symbol “HRZN”. The Company was formed to continue and expand the business of Compass Horizon Funding Company LLC, a Delaware limited liability company, which commenced operations in March 2008 and became the Company’s wholly owned subsidiary upon the completion of the Company’s IPO.</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Horizon Credit II LLC (“Credit II”) was formed as a Delaware limited liability company on June 28, 2011, with the Company as its sole equity member. Credit II is a special purpose bankruptcy-remote entity and is a separate legal entity from the Company. Any assets conveyed to Credit II are not available to creditors of the Company or any other entity other than Credit II’s lenders.</w:t>
      </w:r>
    </w:p>
    <w:p>
      <w:pPr>
        <w:spacing w:after="0" w:line="18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Company has also established an additional wholly owned subsidiary, which is structured as a Delaware limited liability company, to hold the assets of a portfolio company acquired in connection with foreclosure or bankruptcy, which is a separate legal entity from the Company.</w:t>
      </w:r>
    </w:p>
    <w:p>
      <w:pPr>
        <w:spacing w:after="0" w:line="15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Company’s investment strategy is to maximize the investment portfolio’s return by generating current income from the debt investments the Company makes and capital appreciation from the warrants the Company receives when making such debt investments. The Company has entered into an investment management agreement (the “Investment Management Agreement”) with Horizon Technology Finance Management LLC (the “Advisor”) under which the Advisor manages the day-to-day operations of, and provides investment advisory services to,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2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consolidated financial statements of the Company have been prepared in accordance with U.S. generally accepted accounting principles (“GAAP”) and pursuant to the requirements for reporting on Form 10-K and Articles 6 and 10 of Regulation S-X (“Regulation S-X”) under the Securities Act of 1933, as amended (the “Securities Act”). In the opinion of management, the consolidated financial statements reflect all adjustments and reclassifications that are necessary for the fair presentation of financial results as of and for the periods presented. All intercompany balances and transactions have been eliminated.</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As required under GAAP and Regulation S-X, the Company will generally consolidate its investment in a company that is an investment company subsidiary or a controlled operating company whose business consists of providing services to the Company. Accordingly, the Company consolidated the results of the Company’s wholly-owned subsidiaries in its consolidated financial statements. The Company does not consolidate its non-controlling interest in HSLFI.</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preparing the consolidated financial statements in accordance with GAAP, management is required to make estimates and assumptions that affect the reported amounts of assets and liabilities, and disclosures of contingent assets and liabilities, as of the date of the balance sheet and income and expenses for the period. Actual results could differ from those estimates. Material estimates that are particularly susceptible to significant change in the near term relate to the valuation of investments.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Fair value</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records all of its investments at fair value in accordance with relevant GAAP, which establishes a framework used to measure fair value and requires disclosures for fair value measurements. The Company has categorized its investments carried at fair value, based on the priority of the valuation technique, into a three-level fair value hierarchy as more fully described in Note 6. Fair value is a market-based measure considered from the perspective of the market participant who holds the financial instrument rather than an entity specific measure. Therefore, when market assumptions are not readily available, the Company’s own assumptions are set to reflect those that management believes market participants would use in pricing the financial instrument at the measurement date.</w:t>
      </w:r>
    </w:p>
    <w:p>
      <w:pPr>
        <w:spacing w:after="0" w:line="19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is greatest for financial instruments classified as Level 3.</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6 for additional information regarding fair value.</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Segments</w:t>
      </w:r>
    </w:p>
    <w:p>
      <w:pPr>
        <w:spacing w:after="0" w:line="2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has determined that it has a single reporting segment and operating unit structure. The Company lends to and invests in portfolio companies in various technology, life science, healthcare information and services and cleantech industries. The Company separately evaluates the performance of each of its lending and investment relationships. However, because each of these debt investments and investment relationships has similar business and economic characteristics, they have been aggregated into a single lending and investment segment.</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Investments are recorded at fair value. The Company’s board of directors (the “Board”) determines the fair value of the Company’s portfolio investments.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intent to hold its debt investments for the foreseeable future or until maturity or payoff.</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the Company otherwise does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As of December 31, 2018, there were no debt investments on non-accrual status. As of December 31, 2017, there was one investment on non-accrual status with a cost of $3.0 million and a fair value of $2.9 million. For the year ended December 31, 2018, the Company did not receive any payments from debt investments on non-accrual status. For the year ended December 31, 2017, the Company recognized, as interest income, payments of $0.1 million received from one portfolio company whose debt investment was on non-accrual status. For the year ended December 31, 2016, the Company did not recognize interest income from debt investments on non-accrual status.</w:t>
      </w:r>
    </w:p>
    <w:p>
      <w:pPr>
        <w:spacing w:after="0" w:line="18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receives a variety of fees from borrowers in the ordinary course of conducting its business, including advisory fees, commitment fees, amendment fees, non-utilization fees, success fees and prepayment fees. In a limited number of cases, the Company may also receive a non-refundable deposit earned upon the termination of a transaction. Debt investment origination fees, net of certain direct origination costs, are deferred and, along with unearned income, are amortized as a level-yield adjustment over the respective term of the debt investment. All other income is recognized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interest receivable and taken into income over the life of the debt investment to the extent such amounts are expected to be collected. The Company will generally cease accruing the income if there is insufficient value to support the accrual or the Company does not expect the borrower to be able to pay the ETP when due. The proportion of the Company’s total investment income that resulted from the portion of ETPs not received in cash for the years ended December 31, 2018, 2017 and 2016 was 6.5%, 6.0% and 10.8%, respectively.</w:t>
      </w:r>
    </w:p>
    <w:p>
      <w:pPr>
        <w:spacing w:after="0" w:line="19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connection with substantially all lending arrangements, the Company receives warrants to purchase shares of stock from the borrower. The warrants are recorded as assets at estimated fair value on the grant date using the Black-Scholes valuation model. The warrants are considered loan fees and are recorded as unearned income on the grant date. The unearned income is recognized as interest income over the contractual life of the related debt investment in accordance with the Company’s income recognition policy. Subsequent to debt investment origination, the fair value of the warrants is determined using the Black-Scholes valuation model. Any adjustment to fair value is recorded through earnings as net unrealized appreciation or depreciation on investments. Gains and losses from the disposition of the warrants or stock acquired from the exercise of warrants are recognized as realized gains and losses on investments.</w:t>
      </w:r>
    </w:p>
    <w:p>
      <w:pPr>
        <w:spacing w:after="0" w:line="15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Distributions from HSLFI are evaluated at the time of distribution to determine if the distribution should be recorded as dividend income or a return of capital. Generally, the Company will not record distributions from HSLFI as dividend income unless there are sufficient accumulated tax-basis earnings and profit in HSLFI prior to distribution. Distributions that are classified as a return of capital are recorded as a reduction in the cost basis of the investment. For the period June 1, 2018 (the commencement of HSLFI’s operations) through December 31, 2018, HSLFI distributed $0.3 million classified as dividend income to the Company.</w:t>
      </w:r>
    </w:p>
    <w:p>
      <w:pPr>
        <w:spacing w:after="0" w:line="19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The Company measures realized gains or losses by calculating the difference between the net proceeds from the repayment or sale and the amortized cost basis of the investment. Net change in unrealized appreciation or depreciation reflects the change in the fair values of the Company’s portfolio investments during the reporting period, including any reversal of previously recorded unrealized appreciation or depreciation when gains or losses are realized.</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Debt issuance costs are fees and other direct incremental costs incurred by the Company in obtaining debt financing from its lenders and issuing debt securities. The unamortized balance of debt issuance costs as of December 31, 2018 and 2017 was $2.2 million and $2.1 million, respectively. These amounts are amortized and included in interest expense in the consolidated statements of operations over the life of the borrowings. The accumulated amortization balances as of December 31, 2018 and 2017 were $2.4 million and $1.8 million, respectively. The amortization expense for the years ended December 31, 2018, 2017 and 2016 was $0.6 million, $0.8 million and $0.6 million, respectively.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 xml:space="preserve">As a BDC, the Company has elected to be treated as a RIC under Subchapter M of the Code and operates in a manner so as to qualify for the tax treatment applicable to RICs. In order to qualify as a RIC and to avoid the imposition of corporate-level income tax on the portion of its taxable income distributed to stockholders, among other things, the Company is required to meet certain source of income and asset diversification requirements and to timely distribute dividends out of assets legally available for distribution to its stockholders of an amount generally at least equal to 90% of its investment company taxable income, as defined by the Code and determined without regard to any deduction for dividends paid, for each tax year. The Company, among other things, has made and intends to continue to make the requisite distributions to its stockholders, which generally relieves the Company from corporate-level U.S. federal income taxes. Accordingly, no provision for federal income tax has been recorded in the financial statements. Differences between taxable income and net increase in net assets resulting from operations either can be temporary, meaning they will reverse in the future, or permanent. In accordance with Topic 946, </w:t>
      </w:r>
      <w:r>
        <w:rPr>
          <w:rFonts w:ascii="Arial" w:cs="Arial" w:eastAsia="Arial" w:hAnsi="Arial"/>
          <w:sz w:val="15"/>
          <w:szCs w:val="15"/>
          <w:i w:val="1"/>
          <w:iCs w:val="1"/>
          <w:color w:val="auto"/>
        </w:rPr>
        <w:t>Financial Services</w:t>
      </w:r>
      <w:r>
        <w:rPr>
          <w:rFonts w:ascii="Arial" w:cs="Arial" w:eastAsia="Arial" w:hAnsi="Arial"/>
          <w:sz w:val="15"/>
          <w:szCs w:val="15"/>
          <w:color w:val="auto"/>
        </w:rPr>
        <w:t>—</w:t>
      </w:r>
      <w:r>
        <w:rPr>
          <w:rFonts w:ascii="Arial" w:cs="Arial" w:eastAsia="Arial" w:hAnsi="Arial"/>
          <w:sz w:val="15"/>
          <w:szCs w:val="15"/>
          <w:i w:val="1"/>
          <w:iCs w:val="1"/>
          <w:color w:val="auto"/>
        </w:rPr>
        <w:t>Investment Companies</w:t>
      </w:r>
      <w:r>
        <w:rPr>
          <w:rFonts w:ascii="Arial" w:cs="Arial" w:eastAsia="Arial" w:hAnsi="Arial"/>
          <w:sz w:val="15"/>
          <w:szCs w:val="15"/>
          <w:color w:val="auto"/>
        </w:rPr>
        <w:t>, of the Financial Accounting Standards Board’s (“FASB’s”), Accounting Standards Codification, as amended</w:t>
      </w:r>
      <w:r>
        <w:rPr>
          <w:rFonts w:ascii="Arial" w:cs="Arial" w:eastAsia="Arial" w:hAnsi="Arial"/>
          <w:sz w:val="15"/>
          <w:szCs w:val="15"/>
          <w:i w:val="1"/>
          <w:iCs w:val="1"/>
          <w:color w:val="auto"/>
        </w:rPr>
        <w:t xml:space="preserve"> </w:t>
      </w:r>
      <w:r>
        <w:rPr>
          <w:rFonts w:ascii="Arial" w:cs="Arial" w:eastAsia="Arial" w:hAnsi="Arial"/>
          <w:sz w:val="15"/>
          <w:szCs w:val="15"/>
          <w:color w:val="auto"/>
        </w:rPr>
        <w:t>(“ASC”), permanent tax differences, such as non-deductible excise taxes paid, are reclassified from distributions in excess of net investment income and net realized loss on investments to paid-in-capital at the end of each fiscal year. These permanent book-to-tax differences are reclassified on the consolidated statements of changes in net assets to reflect their tax character but have no impact on total net assets. For the year ended December 31, 2018, the Company reclassified $0.03 million to paid-in capital from distributions in excess of net investment income, which related to excise taxes payable. For the year ended December 31, 2017, the Company reclassified $0.03 million to paid-in capital from distributions in excess of net investment income, which related to excise taxes payable. For the year ended December 31, 2016, the Company reclassified $0.1 million to paid-in capital from distributions in excess of net investment income, which related to excise taxes refunded in 2016.</w:t>
      </w:r>
    </w:p>
    <w:p>
      <w:pPr>
        <w:spacing w:after="0" w:line="37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distributions into the next tax year and incur a 4% U.S. federal excise tax on such income, as required. To the extent that the Company determines that its estimated current year annual taxable income will be in excess of estimated current year distributions, the Company accrues excise tax, if any, on estimated excess taxable income as taxable income is earned. For the years ended December 31, 2018, 2017 and 2016, $0.03 million, $0.03 million and $0.1 million, respectively, was recorded for U.S. federal excise tax.</w:t>
      </w:r>
    </w:p>
    <w:p>
      <w:pPr>
        <w:spacing w:after="0" w:line="19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Arial" w:cs="Arial" w:eastAsia="Arial" w:hAnsi="Arial"/>
          <w:sz w:val="15"/>
          <w:szCs w:val="15"/>
          <w:i w:val="1"/>
          <w:iCs w:val="1"/>
          <w:color w:val="auto"/>
        </w:rPr>
        <w:t>Income Taxes</w:t>
      </w:r>
      <w:r>
        <w:rPr>
          <w:rFonts w:ascii="Arial" w:cs="Arial" w:eastAsia="Arial" w:hAnsi="Arial"/>
          <w:sz w:val="15"/>
          <w:szCs w:val="15"/>
          <w:color w:val="auto"/>
        </w:rPr>
        <w:t>, as modified by ASC Topic 946. Tax benefits of positions not deemed to meet the more-likely-than-not threshold, or uncertain tax positions, would be recorded as a tax expense in the current year. It is the Company’s policy to recognize accrued interest and penalties related to uncertain tax benefits in income tax expense. The Company had no material uncertain tax positions at December 31, 2018 and 2017. The 2017, 2016 and 2015 tax years remain subject to examination by U.S. federal and state tax authorities.</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Distributions</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Distributions to common stockholders are recorded on the declaration date. The amount to be paid out as distributions is determined by the Board. Net realized capital gains, if any, may be distributed, although the Company may decide to retain such net realized gains for investment.</w:t>
      </w:r>
    </w:p>
    <w:p>
      <w:pPr>
        <w:spacing w:after="0" w:line="17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has adopted a dividend reinvestment plan that provides for reinvestment of cash distributions on behalf of its stockholders, unless a stockholder elects to receive cash. As a result, if the Board declares a cash distribution, then stockholders who have not “opted out” of the dividend reinvestment plan will have their cash distributions automatically reinvested in additional shares of the Company’s common stock, rather than receiving the cash distribution. The Company may use newly issued shares to implement the plan or the Company may purchase shares in the open market to fulfill its obligations under the plan.</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1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April 27, 2018, the Board extended a previously authorized stock repurchase program which allows the Company to repurchase up to $5.0 million of its common stock at prices below the Company’s net asset value per share as reported in its most recent consolidated financial statements. Under the repurchase program, the Company may, but is not obligated to, repurchase shares of its outstanding common stock in the open market or in privately negotiated transactions from time to time. Any repurchases by the Company will comply with the requirements of Rule 10b-18 under the Securities Exchange Act of 1934, as amended (the “Exchange Act”), and any applicable requirements of the 1940 Act. Unless extended by the Board, the repurchase program will terminate on the earlier of June 30, 2019 or the repurchase of $5.0 million of the Company’s common stock. During the year ended December 31, 2018, the Company did not repurchase any shares of its common stock. During the year ended December 31, 2017, the Company repurchased 5,923 shares of its common stock at an average price of $9.97 on the open market at a total cost of $0.1 million. During the year ended December 31, 2016, the Company repurchased 48,160 shares of its common stock at an average price of $10.66 on the open market at a total cost of $0.5 million. From the inception of the stock repurchase program through December 31, 2018, the Company repurchased 167,465 shares of its common stock at an average price of $11.22 on the open market at a total cost of $1.9 million.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2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Assets related to transactions that do not meet the requirements under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xml:space="preserve"> for sale treatment under GAAP are reflected in the Company’s consolidated statements of assets and liabilities as investments. Those assets are owned by special purpose entities that are consolidated in the Company’s financial statements. The creditors of the special purpose entities have received security interests in such assets and such assets are not intended to be available to the creditors of the Company (or any other affiliate of the Company).</w:t>
      </w:r>
    </w:p>
    <w:p>
      <w:pPr>
        <w:spacing w:after="0" w:line="17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Transfers of financial assets are accounted for as sales when control over the assets has been surrendered. Control over transferred assets is deemed to be surrendered when (1) the assets have been isolated from the Company — put presumptively beyond the reach of the transferor and its creditors, even in bankruptcy or other receivership, (2) the transferee obtains the right (free of conditions that constrain it from taking advantage of that right) to pledge or exchange the transferred assets and (3) the transferor does not maintain effective control over the transferred assets through either (a) an agreement that both entitles and obligates the transferor to repurchase or redeem the assets before maturity or (b) the ability to unilaterally cause the holder to return specific assets, other than through a cleanup call.</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April 2014, the FASB issued Accounting Standards Update 2014-09, Revenue from Contracts with Customers (Topic 606) (“ASU 2014-09”), which amends existing revenue recognition guidance to depict the transfer of promised goods or services to customers in an amount that reflects the consideration to which the entity expects to be entitled in exchange for those goods or services. ASU 2014-09 is effective for annual and interim periods beginning after December 15, 2017. As required, the Company adopted ASU 2014-09 effective January 1, 2018, and such adoption did not have an impact on the Company’s consolidated financial statements and disclosures.</w:t>
      </w:r>
    </w:p>
    <w:p>
      <w:pPr>
        <w:spacing w:after="0" w:line="19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August 2018, the FASB issued ASU 2018-13, Fair Value Measurement (Topic 820): Disclosure Framework — Changes to the Disclosure Requirements for Fair Value Measurement (“ASU 2018-13”), which modifies disclosure requirements for the fair value measurement of Level 3 securities of public companies. This guidance is effective for annual and interim periods beginning on or after December 15, 2019 and early adoption is permitted. The Company has elected to early adopt ASU 2018-13 for the year ended December 31, 2018. As a result, no significant changes were made to the Company’s disclosures in the notes to the consolidated financial statements.</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Securities and Exchange Commission Disclosure Update and Simplification</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August 2018, the Securities and Exchange Commission (the “SEC”) adopted the final rule under SEC Release No. 33-10532, Disclosure Update and Simplification (the “SEC Release”), amending certain disclosure requirements that were redundant, duplicative, overlapping, outdated or superseded. The SEC Release is effective for all filings on or after November 5, 2018. As required, the Company adopted the SEC Release for the year ended December 31, 2018. The SEC Release required changes to the presentation of the Company's Consolidated Statements of Assets and Liabilities and the Consolidated Statements of Changes in Net Assets. Prior to adoption, the Company presented distributable earnings on the Consolidated Statements of Assets and Liabilities and the Consolidated Statement of Net Assets as three components: 1) distributions in excess of net investment income; 2) net unrealized depreciation on investments; and 3) net realized loss on investments. Upon adoption, the Company presents distributable earnings in total on the Consolidated Statements of Assets and Liabilities and the Consolidated Statements of Changes in Net Assets. The changes in presentation have been retrospectively applied to the Consolidated Statement of Assets and Liabilities as of December 31, 2017 and to the Consolidated Statements of Changes in Net Assets for the years ended December 31, 2017 and 2016.</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 provides a reconciliation of previously disclosed components of distributable earnings on the Consolidated Statement of Assets and Liabilities as of December 31, 2017 to currently disclosed total distributable earnings on the Consolidated Statement of Assets and Liabilities as of December 31, 2017:</w:t>
      </w:r>
    </w:p>
    <w:p>
      <w:pPr>
        <w:sectPr>
          <w:pgSz w:w="11900" w:h="16838" w:orient="portrait"/>
          <w:cols w:equalWidth="0" w:num="1">
            <w:col w:w="11420"/>
          </w:cols>
          <w:pgMar w:left="240" w:top="89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Distributions in excess of 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-100965</wp:posOffset>
            </wp:positionV>
            <wp:extent cx="5792470" cy="134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92470" cy="134620"/>
                    </a:xfrm>
                    <a:prstGeom prst="rect">
                      <a:avLst/>
                    </a:prstGeom>
                    <a:noFill/>
                  </pic:spPr>
                </pic:pic>
              </a:graphicData>
            </a:graphic>
          </wp:anchor>
        </w:drawing>
      </w:r>
    </w:p>
    <w:p>
      <w:pPr>
        <w:spacing w:after="0" w:line="3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Net unrealized depreciation on investments</w:t>
      </w:r>
    </w:p>
    <w:p>
      <w:pPr>
        <w:spacing w:after="0" w:line="1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Net realized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-130175</wp:posOffset>
            </wp:positionV>
            <wp:extent cx="5792470" cy="142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92470" cy="14287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Distributable earnings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217"/>
        <w:spacing w:after="0"/>
        <w:rPr>
          <w:sz w:val="20"/>
          <w:szCs w:val="20"/>
          <w:color w:val="auto"/>
        </w:rPr>
      </w:pPr>
      <w:r>
        <w:rPr>
          <w:rFonts w:ascii="Arial" w:cs="Arial" w:eastAsia="Arial" w:hAnsi="Arial"/>
          <w:sz w:val="15"/>
          <w:szCs w:val="15"/>
          <w:b w:val="1"/>
          <w:bCs w:val="1"/>
          <w:u w:val="single" w:color="auto"/>
          <w:color w:val="auto"/>
        </w:rPr>
        <w:t>December 31, 2017</w:t>
      </w:r>
    </w:p>
    <w:p>
      <w:pPr>
        <w:spacing w:after="0" w:line="57" w:lineRule="exact"/>
        <w:rPr>
          <w:sz w:val="20"/>
          <w:szCs w:val="20"/>
          <w:color w:val="auto"/>
        </w:rPr>
      </w:pPr>
    </w:p>
    <w:p>
      <w:pPr>
        <w:jc w:val="center"/>
        <w:ind w:right="1217"/>
        <w:spacing w:after="0"/>
        <w:rPr>
          <w:sz w:val="20"/>
          <w:szCs w:val="20"/>
          <w:color w:val="auto"/>
        </w:rPr>
      </w:pPr>
      <w:r>
        <w:rPr>
          <w:rFonts w:ascii="Arial" w:cs="Arial" w:eastAsia="Arial" w:hAnsi="Arial"/>
          <w:sz w:val="18"/>
          <w:szCs w:val="18"/>
          <w:b w:val="1"/>
          <w:bCs w:val="1"/>
          <w:color w:val="auto"/>
        </w:rPr>
        <w:t>(In thousands)</w:t>
      </w:r>
    </w:p>
    <w:p>
      <w:pPr>
        <w:spacing w:after="0" w:line="18" w:lineRule="exact"/>
        <w:rPr>
          <w:sz w:val="20"/>
          <w:szCs w:val="20"/>
          <w:color w:val="auto"/>
        </w:rPr>
      </w:pPr>
    </w:p>
    <w:p>
      <w:pPr>
        <w:ind w:left="1003" w:hanging="1003"/>
        <w:spacing w:after="0"/>
        <w:tabs>
          <w:tab w:leader="none" w:pos="1003" w:val="left"/>
        </w:tabs>
        <w:numPr>
          <w:ilvl w:val="0"/>
          <w:numId w:val="45"/>
        </w:numPr>
        <w:rPr>
          <w:rFonts w:ascii="Arial" w:cs="Arial" w:eastAsia="Arial" w:hAnsi="Arial"/>
          <w:sz w:val="15"/>
          <w:szCs w:val="15"/>
          <w:color w:val="auto"/>
        </w:rPr>
      </w:pPr>
      <w:r>
        <w:rPr>
          <w:rFonts w:ascii="Arial" w:cs="Arial" w:eastAsia="Arial" w:hAnsi="Arial"/>
          <w:sz w:val="15"/>
          <w:szCs w:val="15"/>
          <w:color w:val="auto"/>
        </w:rPr>
        <w:t>(1,898)</w:t>
      </w:r>
    </w:p>
    <w:p>
      <w:pPr>
        <w:spacing w:after="0" w:line="39" w:lineRule="exact"/>
        <w:rPr>
          <w:rFonts w:ascii="Arial" w:cs="Arial" w:eastAsia="Arial" w:hAnsi="Arial"/>
          <w:sz w:val="15"/>
          <w:szCs w:val="15"/>
          <w:color w:val="auto"/>
        </w:rPr>
      </w:pPr>
    </w:p>
    <w:p>
      <w:pPr>
        <w:ind w:left="1143"/>
        <w:spacing w:after="0"/>
        <w:rPr>
          <w:rFonts w:ascii="Arial" w:cs="Arial" w:eastAsia="Arial" w:hAnsi="Arial"/>
          <w:sz w:val="15"/>
          <w:szCs w:val="15"/>
          <w:color w:val="auto"/>
        </w:rPr>
      </w:pPr>
      <w:r>
        <w:rPr>
          <w:rFonts w:ascii="Arial" w:cs="Arial" w:eastAsia="Arial" w:hAnsi="Arial"/>
          <w:sz w:val="15"/>
          <w:szCs w:val="15"/>
          <w:color w:val="auto"/>
        </w:rPr>
        <w:t>(978)</w:t>
      </w:r>
    </w:p>
    <w:p>
      <w:pPr>
        <w:spacing w:after="0" w:line="40"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(41,702)</w:t>
      </w:r>
    </w:p>
    <w:p>
      <w:pPr>
        <w:spacing w:after="0" w:line="18" w:lineRule="exact"/>
        <w:rPr>
          <w:sz w:val="20"/>
          <w:szCs w:val="20"/>
          <w:color w:val="auto"/>
        </w:rPr>
      </w:pPr>
    </w:p>
    <w:p>
      <w:pPr>
        <w:ind w:left="923" w:hanging="923"/>
        <w:spacing w:after="0"/>
        <w:tabs>
          <w:tab w:leader="none" w:pos="923" w:val="left"/>
        </w:tabs>
        <w:numPr>
          <w:ilvl w:val="0"/>
          <w:numId w:val="46"/>
        </w:numPr>
        <w:rPr>
          <w:rFonts w:ascii="Arial" w:cs="Arial" w:eastAsia="Arial" w:hAnsi="Arial"/>
          <w:sz w:val="15"/>
          <w:szCs w:val="15"/>
          <w:color w:val="auto"/>
        </w:rPr>
      </w:pPr>
      <w:r>
        <w:rPr>
          <w:rFonts w:ascii="Arial" w:cs="Arial" w:eastAsia="Arial" w:hAnsi="Arial"/>
          <w:sz w:val="15"/>
          <w:szCs w:val="15"/>
          <w:color w:val="auto"/>
        </w:rPr>
        <w:t>(44,578)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9258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59690</wp:posOffset>
            </wp:positionV>
            <wp:extent cx="9258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-107950</wp:posOffset>
            </wp:positionV>
            <wp:extent cx="9258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017" w:space="720"/>
            <w:col w:w="2683"/>
          </w:cols>
          <w:pgMar w:left="240" w:top="890" w:right="239" w:bottom="1440" w:gutter="0" w:footer="0" w:header="0"/>
          <w:type w:val="continuous"/>
        </w:sectPr>
      </w:pPr>
    </w:p>
    <w:p>
      <w:pPr>
        <w:spacing w:after="0" w:line="8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 provides a reconciliation of previously disclosed components of distributable earnings on the Consolidated Statement of Changes in Net Assets as of December 31, 2017 and 2016 to currently disclosed total distributable earnings on the Consolidated Statement of Assets and Liabilities as of December 31, 2017 and 2016:</w:t>
      </w:r>
    </w:p>
    <w:p>
      <w:pPr>
        <w:sectPr>
          <w:pgSz w:w="11900" w:h="16838" w:orient="portrait"/>
          <w:cols w:equalWidth="0" w:num="1">
            <w:col w:w="11420"/>
          </w:cols>
          <w:pgMar w:left="240" w:top="89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investment income, net of excise tax</w:t>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unrealized appreciation on investments</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realized loss on investments</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Net increase in net assets resulting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investment income, net of excise tax</w:t>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unrealized depreciation on investments</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realized loss on investments</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Net decrease in net assets resulting from operations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Related party transactions</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For the year ended December 31, 2017</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88"/>
              </w:rPr>
              <w:t>Accumulated</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283"/>
              <w:spacing w:after="0" w:line="189" w:lineRule="exact"/>
              <w:rPr>
                <w:sz w:val="20"/>
                <w:szCs w:val="20"/>
                <w:color w:val="auto"/>
              </w:rPr>
            </w:pPr>
            <w:r>
              <w:rPr>
                <w:rFonts w:ascii="Arial" w:cs="Arial" w:eastAsia="Arial" w:hAnsi="Arial"/>
                <w:sz w:val="18"/>
                <w:szCs w:val="18"/>
                <w:b w:val="1"/>
                <w:bCs w:val="1"/>
                <w:color w:val="auto"/>
                <w:w w:val="89"/>
              </w:rPr>
              <w:t>Net</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Undistributed</w:t>
            </w:r>
          </w:p>
        </w:tc>
        <w:tc>
          <w:tcPr>
            <w:tcW w:w="160" w:type="dxa"/>
            <w:vAlign w:val="bottom"/>
          </w:tcPr>
          <w:p>
            <w:pPr>
              <w:spacing w:after="0"/>
              <w:rPr>
                <w:sz w:val="18"/>
                <w:szCs w:val="18"/>
                <w:color w:val="auto"/>
              </w:rPr>
            </w:pPr>
          </w:p>
        </w:tc>
        <w:tc>
          <w:tcPr>
            <w:tcW w:w="1460" w:type="dxa"/>
            <w:vAlign w:val="bottom"/>
            <w:gridSpan w:val="2"/>
          </w:tcPr>
          <w:p>
            <w:pPr>
              <w:jc w:val="center"/>
              <w:ind w:right="283"/>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(Distributions in</w:t>
            </w:r>
          </w:p>
        </w:tc>
        <w:tc>
          <w:tcPr>
            <w:tcW w:w="160" w:type="dxa"/>
            <w:vAlign w:val="bottom"/>
          </w:tcPr>
          <w:p>
            <w:pPr>
              <w:spacing w:after="0"/>
              <w:rPr>
                <w:sz w:val="18"/>
                <w:szCs w:val="18"/>
                <w:color w:val="auto"/>
              </w:rPr>
            </w:pPr>
          </w:p>
        </w:tc>
        <w:tc>
          <w:tcPr>
            <w:tcW w:w="1460" w:type="dxa"/>
            <w:vAlign w:val="bottom"/>
            <w:gridSpan w:val="2"/>
          </w:tcPr>
          <w:p>
            <w:pPr>
              <w:jc w:val="center"/>
              <w:ind w:right="283"/>
              <w:spacing w:after="0"/>
              <w:rPr>
                <w:sz w:val="20"/>
                <w:szCs w:val="20"/>
                <w:color w:val="auto"/>
              </w:rPr>
            </w:pPr>
            <w:r>
              <w:rPr>
                <w:rFonts w:ascii="Arial" w:cs="Arial" w:eastAsia="Arial" w:hAnsi="Arial"/>
                <w:sz w:val="18"/>
                <w:szCs w:val="18"/>
                <w:b w:val="1"/>
                <w:bCs w:val="1"/>
                <w:color w:val="auto"/>
                <w:w w:val="89"/>
              </w:rPr>
              <w:t>Appreciation</w:t>
            </w:r>
          </w:p>
        </w:tc>
        <w:tc>
          <w:tcPr>
            <w:tcW w:w="160" w:type="dxa"/>
            <w:vAlign w:val="bottom"/>
          </w:tcPr>
          <w:p>
            <w:pPr>
              <w:spacing w:after="0"/>
              <w:rPr>
                <w:sz w:val="18"/>
                <w:szCs w:val="18"/>
                <w:color w:val="auto"/>
              </w:rPr>
            </w:pPr>
          </w:p>
        </w:tc>
        <w:tc>
          <w:tcPr>
            <w:tcW w:w="1460" w:type="dxa"/>
            <w:vAlign w:val="bottom"/>
            <w:gridSpan w:val="2"/>
          </w:tcPr>
          <w:p>
            <w:pPr>
              <w:jc w:val="center"/>
              <w:ind w:right="303"/>
              <w:spacing w:after="0"/>
              <w:rPr>
                <w:sz w:val="20"/>
                <w:szCs w:val="20"/>
                <w:color w:val="auto"/>
              </w:rPr>
            </w:pPr>
            <w:r>
              <w:rPr>
                <w:rFonts w:ascii="Arial" w:cs="Arial" w:eastAsia="Arial" w:hAnsi="Arial"/>
                <w:sz w:val="18"/>
                <w:szCs w:val="18"/>
                <w:b w:val="1"/>
                <w:bCs w:val="1"/>
                <w:color w:val="auto"/>
                <w:w w:val="89"/>
              </w:rPr>
              <w:t>Net Realized</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Excess of) Net</w:t>
            </w:r>
          </w:p>
        </w:tc>
        <w:tc>
          <w:tcPr>
            <w:tcW w:w="160" w:type="dxa"/>
            <w:vAlign w:val="bottom"/>
          </w:tcPr>
          <w:p>
            <w:pPr>
              <w:spacing w:after="0"/>
              <w:rPr>
                <w:sz w:val="18"/>
                <w:szCs w:val="18"/>
                <w:color w:val="auto"/>
              </w:rPr>
            </w:pPr>
          </w:p>
        </w:tc>
        <w:tc>
          <w:tcPr>
            <w:tcW w:w="1460" w:type="dxa"/>
            <w:vAlign w:val="bottom"/>
            <w:gridSpan w:val="2"/>
          </w:tcPr>
          <w:p>
            <w:pPr>
              <w:jc w:val="center"/>
              <w:ind w:right="283"/>
              <w:spacing w:after="0"/>
              <w:rPr>
                <w:sz w:val="20"/>
                <w:szCs w:val="20"/>
                <w:color w:val="auto"/>
              </w:rPr>
            </w:pPr>
            <w:r>
              <w:rPr>
                <w:rFonts w:ascii="Arial" w:cs="Arial" w:eastAsia="Arial" w:hAnsi="Arial"/>
                <w:sz w:val="18"/>
                <w:szCs w:val="18"/>
                <w:b w:val="1"/>
                <w:bCs w:val="1"/>
                <w:color w:val="auto"/>
                <w:w w:val="81"/>
              </w:rPr>
              <w:t>on</w:t>
            </w:r>
          </w:p>
        </w:tc>
        <w:tc>
          <w:tcPr>
            <w:tcW w:w="160" w:type="dxa"/>
            <w:vAlign w:val="bottom"/>
          </w:tcPr>
          <w:p>
            <w:pPr>
              <w:spacing w:after="0"/>
              <w:rPr>
                <w:sz w:val="18"/>
                <w:szCs w:val="18"/>
                <w:color w:val="auto"/>
              </w:rPr>
            </w:pPr>
          </w:p>
        </w:tc>
        <w:tc>
          <w:tcPr>
            <w:tcW w:w="1460" w:type="dxa"/>
            <w:vAlign w:val="bottom"/>
            <w:gridSpan w:val="2"/>
          </w:tcPr>
          <w:p>
            <w:pPr>
              <w:jc w:val="center"/>
              <w:ind w:right="283"/>
              <w:spacing w:after="0"/>
              <w:rPr>
                <w:sz w:val="20"/>
                <w:szCs w:val="20"/>
                <w:color w:val="auto"/>
              </w:rPr>
            </w:pPr>
            <w:r>
              <w:rPr>
                <w:rFonts w:ascii="Arial" w:cs="Arial" w:eastAsia="Arial" w:hAnsi="Arial"/>
                <w:sz w:val="18"/>
                <w:szCs w:val="18"/>
                <w:b w:val="1"/>
                <w:bCs w:val="1"/>
                <w:color w:val="auto"/>
                <w:w w:val="83"/>
              </w:rPr>
              <w:t>Loss on</w:t>
            </w:r>
          </w:p>
        </w:tc>
        <w:tc>
          <w:tcPr>
            <w:tcW w:w="140" w:type="dxa"/>
            <w:vAlign w:val="bottom"/>
          </w:tcPr>
          <w:p>
            <w:pPr>
              <w:spacing w:after="0"/>
              <w:rPr>
                <w:sz w:val="18"/>
                <w:szCs w:val="18"/>
                <w:color w:val="auto"/>
              </w:rPr>
            </w:pPr>
          </w:p>
        </w:tc>
        <w:tc>
          <w:tcPr>
            <w:tcW w:w="1320" w:type="dxa"/>
            <w:vAlign w:val="bottom"/>
            <w:gridSpan w:val="2"/>
          </w:tcPr>
          <w:p>
            <w:pPr>
              <w:jc w:val="center"/>
              <w:ind w:right="123"/>
              <w:spacing w:after="0"/>
              <w:rPr>
                <w:sz w:val="20"/>
                <w:szCs w:val="20"/>
                <w:color w:val="auto"/>
              </w:rPr>
            </w:pPr>
            <w:r>
              <w:rPr>
                <w:rFonts w:ascii="Arial" w:cs="Arial" w:eastAsia="Arial" w:hAnsi="Arial"/>
                <w:sz w:val="18"/>
                <w:szCs w:val="18"/>
                <w:b w:val="1"/>
                <w:bCs w:val="1"/>
                <w:color w:val="auto"/>
                <w:w w:val="90"/>
              </w:rPr>
              <w:t>Distributable</w:t>
            </w:r>
          </w:p>
        </w:tc>
        <w:tc>
          <w:tcPr>
            <w:tcW w:w="0" w:type="dxa"/>
            <w:vAlign w:val="bottom"/>
          </w:tcPr>
          <w:p>
            <w:pPr>
              <w:spacing w:after="0"/>
              <w:rPr>
                <w:sz w:val="1"/>
                <w:szCs w:val="1"/>
                <w:color w:val="auto"/>
              </w:rPr>
            </w:pPr>
          </w:p>
        </w:tc>
      </w:tr>
      <w:tr>
        <w:trPr>
          <w:trHeight w:val="230"/>
        </w:trPr>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Investment Income</w:t>
            </w:r>
          </w:p>
        </w:tc>
        <w:tc>
          <w:tcPr>
            <w:tcW w:w="160" w:type="dxa"/>
            <w:vAlign w:val="bottom"/>
          </w:tcPr>
          <w:p>
            <w:pPr>
              <w:spacing w:after="0"/>
              <w:rPr>
                <w:sz w:val="20"/>
                <w:szCs w:val="20"/>
                <w:color w:val="auto"/>
              </w:rPr>
            </w:pPr>
          </w:p>
        </w:tc>
        <w:tc>
          <w:tcPr>
            <w:tcW w:w="1460" w:type="dxa"/>
            <w:vAlign w:val="bottom"/>
            <w:gridSpan w:val="2"/>
          </w:tcPr>
          <w:p>
            <w:pPr>
              <w:jc w:val="center"/>
              <w:ind w:right="303"/>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Pr>
          <w:p>
            <w:pPr>
              <w:spacing w:after="0"/>
              <w:rPr>
                <w:sz w:val="20"/>
                <w:szCs w:val="20"/>
                <w:color w:val="auto"/>
              </w:rPr>
            </w:pPr>
          </w:p>
        </w:tc>
        <w:tc>
          <w:tcPr>
            <w:tcW w:w="1460" w:type="dxa"/>
            <w:vAlign w:val="bottom"/>
            <w:gridSpan w:val="2"/>
          </w:tcPr>
          <w:p>
            <w:pPr>
              <w:jc w:val="center"/>
              <w:ind w:right="303"/>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320" w:type="dxa"/>
            <w:vAlign w:val="bottom"/>
            <w:gridSpan w:val="2"/>
          </w:tcPr>
          <w:p>
            <w:pPr>
              <w:jc w:val="center"/>
              <w:ind w:right="123"/>
              <w:spacing w:after="0"/>
              <w:rPr>
                <w:sz w:val="20"/>
                <w:szCs w:val="20"/>
                <w:color w:val="auto"/>
              </w:rPr>
            </w:pPr>
            <w:r>
              <w:rPr>
                <w:rFonts w:ascii="Arial" w:cs="Arial" w:eastAsia="Arial" w:hAnsi="Arial"/>
                <w:sz w:val="18"/>
                <w:szCs w:val="18"/>
                <w:b w:val="1"/>
                <w:bCs w:val="1"/>
                <w:color w:val="auto"/>
                <w:w w:val="88"/>
              </w:rPr>
              <w:t>Earnings</w:t>
            </w:r>
          </w:p>
        </w:tc>
        <w:tc>
          <w:tcPr>
            <w:tcW w:w="0" w:type="dxa"/>
            <w:vAlign w:val="bottom"/>
          </w:tcPr>
          <w:p>
            <w:pPr>
              <w:spacing w:after="0"/>
              <w:rPr>
                <w:sz w:val="1"/>
                <w:szCs w:val="1"/>
                <w:color w:val="auto"/>
              </w:rPr>
            </w:pPr>
          </w:p>
        </w:tc>
      </w:tr>
      <w:tr>
        <w:trPr>
          <w:trHeight w:val="194"/>
        </w:trPr>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5"/>
          </w:tcPr>
          <w:p>
            <w:pPr>
              <w:jc w:val="right"/>
              <w:ind w:right="1123"/>
              <w:spacing w:after="0" w:line="194" w:lineRule="exact"/>
              <w:rPr>
                <w:sz w:val="20"/>
                <w:szCs w:val="20"/>
                <w:color w:val="auto"/>
              </w:rPr>
            </w:pPr>
            <w:r>
              <w:rPr>
                <w:rFonts w:ascii="Arial" w:cs="Arial" w:eastAsia="Arial" w:hAnsi="Arial"/>
                <w:sz w:val="18"/>
                <w:szCs w:val="18"/>
                <w:b w:val="1"/>
                <w:bCs w:val="1"/>
                <w:color w:val="auto"/>
              </w:rPr>
              <w:t>(In thousands)</w:t>
            </w: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12,297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12,297</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43"/>
              <w:spacing w:after="0"/>
              <w:rPr>
                <w:sz w:val="20"/>
                <w:szCs w:val="20"/>
                <w:color w:val="auto"/>
              </w:rPr>
            </w:pPr>
            <w:r>
              <w:rPr>
                <w:rFonts w:ascii="Arial" w:cs="Arial" w:eastAsia="Arial" w:hAnsi="Arial"/>
                <w:sz w:val="18"/>
                <w:szCs w:val="18"/>
                <w:color w:val="auto"/>
              </w:rPr>
              <w:t>18,485</w:t>
            </w:r>
          </w:p>
        </w:tc>
        <w:tc>
          <w:tcPr>
            <w:tcW w:w="160" w:type="dxa"/>
            <w:vAlign w:val="bottom"/>
          </w:tcPr>
          <w:p>
            <w:pPr>
              <w:spacing w:after="0"/>
              <w:rPr>
                <w:sz w:val="18"/>
                <w:szCs w:val="18"/>
                <w:color w:val="auto"/>
              </w:rPr>
            </w:pPr>
          </w:p>
        </w:tc>
        <w:tc>
          <w:tcPr>
            <w:tcW w:w="146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18,485</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60" w:type="dxa"/>
            <w:vAlign w:val="bottom"/>
            <w:gridSpan w:val="2"/>
          </w:tcPr>
          <w:p>
            <w:pPr>
              <w:jc w:val="right"/>
              <w:ind w:right="83"/>
              <w:spacing w:after="0"/>
              <w:rPr>
                <w:sz w:val="20"/>
                <w:szCs w:val="20"/>
                <w:color w:val="auto"/>
              </w:rPr>
            </w:pPr>
            <w:r>
              <w:rPr>
                <w:rFonts w:ascii="Arial" w:cs="Arial" w:eastAsia="Arial" w:hAnsi="Arial"/>
                <w:sz w:val="18"/>
                <w:szCs w:val="18"/>
                <w:color w:val="auto"/>
              </w:rPr>
              <w:t>(21,191)</w:t>
            </w:r>
          </w:p>
        </w:tc>
        <w:tc>
          <w:tcPr>
            <w:tcW w:w="1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(21,191)</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3"/>
              <w:spacing w:after="0"/>
              <w:rPr>
                <w:sz w:val="20"/>
                <w:szCs w:val="20"/>
                <w:color w:val="auto"/>
              </w:rPr>
            </w:pPr>
            <w:r>
              <w:rPr>
                <w:rFonts w:ascii="Arial" w:cs="Arial" w:eastAsia="Arial" w:hAnsi="Arial"/>
                <w:sz w:val="15"/>
                <w:szCs w:val="15"/>
                <w:color w:val="auto"/>
                <w:w w:val="79"/>
              </w:rPr>
              <w:t>)</w:t>
            </w: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12,297</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3"/>
              <w:spacing w:after="0"/>
              <w:rPr>
                <w:sz w:val="20"/>
                <w:szCs w:val="20"/>
                <w:color w:val="auto"/>
              </w:rPr>
            </w:pPr>
            <w:r>
              <w:rPr>
                <w:rFonts w:ascii="Arial" w:cs="Arial" w:eastAsia="Arial" w:hAnsi="Arial"/>
                <w:sz w:val="18"/>
                <w:szCs w:val="18"/>
                <w:color w:val="auto"/>
              </w:rPr>
              <w:t>18,485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(21,191</w:t>
            </w:r>
          </w:p>
        </w:tc>
        <w:tc>
          <w:tcPr>
            <w:tcW w:w="2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ind w:right="223"/>
              <w:spacing w:after="0"/>
              <w:rPr>
                <w:sz w:val="20"/>
                <w:szCs w:val="20"/>
                <w:color w:val="auto"/>
              </w:rPr>
            </w:pPr>
            <w:r>
              <w:rPr>
                <w:rFonts w:ascii="Arial" w:cs="Arial" w:eastAsia="Arial" w:hAnsi="Arial"/>
                <w:sz w:val="18"/>
                <w:szCs w:val="18"/>
                <w:b w:val="1"/>
                <w:bCs w:val="1"/>
                <w:color w:val="auto"/>
                <w:w w:val="88"/>
              </w:rPr>
              <w:t>For the year ended December 31, 2016</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1560" w:type="dxa"/>
            <w:vAlign w:val="bottom"/>
            <w:gridSpan w:val="2"/>
          </w:tcPr>
          <w:p>
            <w:pPr>
              <w:jc w:val="center"/>
              <w:ind w:right="320"/>
              <w:spacing w:after="0" w:line="188" w:lineRule="exact"/>
              <w:rPr>
                <w:sz w:val="20"/>
                <w:szCs w:val="20"/>
                <w:color w:val="auto"/>
              </w:rPr>
            </w:pPr>
            <w:r>
              <w:rPr>
                <w:rFonts w:ascii="Arial" w:cs="Arial" w:eastAsia="Arial" w:hAnsi="Arial"/>
                <w:sz w:val="18"/>
                <w:szCs w:val="18"/>
                <w:b w:val="1"/>
                <w:bCs w:val="1"/>
                <w:color w:val="auto"/>
                <w:w w:val="88"/>
              </w:rPr>
              <w:t>Accumulated</w:t>
            </w:r>
          </w:p>
        </w:tc>
        <w:tc>
          <w:tcPr>
            <w:tcW w:w="160" w:type="dxa"/>
            <w:vAlign w:val="bottom"/>
          </w:tcPr>
          <w:p>
            <w:pPr>
              <w:spacing w:after="0"/>
              <w:rPr>
                <w:sz w:val="16"/>
                <w:szCs w:val="16"/>
                <w:color w:val="auto"/>
              </w:rPr>
            </w:pPr>
          </w:p>
        </w:tc>
        <w:tc>
          <w:tcPr>
            <w:tcW w:w="1460" w:type="dxa"/>
            <w:vAlign w:val="bottom"/>
            <w:gridSpan w:val="2"/>
          </w:tcPr>
          <w:p>
            <w:pPr>
              <w:jc w:val="center"/>
              <w:ind w:right="283"/>
              <w:spacing w:after="0" w:line="188" w:lineRule="exact"/>
              <w:rPr>
                <w:sz w:val="20"/>
                <w:szCs w:val="20"/>
                <w:color w:val="auto"/>
              </w:rPr>
            </w:pPr>
            <w:r>
              <w:rPr>
                <w:rFonts w:ascii="Arial" w:cs="Arial" w:eastAsia="Arial" w:hAnsi="Arial"/>
                <w:sz w:val="18"/>
                <w:szCs w:val="18"/>
                <w:b w:val="1"/>
                <w:bCs w:val="1"/>
                <w:color w:val="auto"/>
                <w:w w:val="89"/>
              </w:rPr>
              <w:t>Net</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Undistributed</w:t>
            </w:r>
          </w:p>
        </w:tc>
        <w:tc>
          <w:tcPr>
            <w:tcW w:w="160" w:type="dxa"/>
            <w:vAlign w:val="bottom"/>
          </w:tcPr>
          <w:p>
            <w:pPr>
              <w:spacing w:after="0"/>
              <w:rPr>
                <w:sz w:val="18"/>
                <w:szCs w:val="18"/>
                <w:color w:val="auto"/>
              </w:rPr>
            </w:pPr>
          </w:p>
        </w:tc>
        <w:tc>
          <w:tcPr>
            <w:tcW w:w="1460" w:type="dxa"/>
            <w:vAlign w:val="bottom"/>
            <w:gridSpan w:val="2"/>
          </w:tcPr>
          <w:p>
            <w:pPr>
              <w:jc w:val="center"/>
              <w:ind w:right="283"/>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(Distributions in</w:t>
            </w:r>
          </w:p>
        </w:tc>
        <w:tc>
          <w:tcPr>
            <w:tcW w:w="160" w:type="dxa"/>
            <w:vAlign w:val="bottom"/>
          </w:tcPr>
          <w:p>
            <w:pPr>
              <w:spacing w:after="0"/>
              <w:rPr>
                <w:sz w:val="18"/>
                <w:szCs w:val="18"/>
                <w:color w:val="auto"/>
              </w:rPr>
            </w:pPr>
          </w:p>
        </w:tc>
        <w:tc>
          <w:tcPr>
            <w:tcW w:w="1460" w:type="dxa"/>
            <w:vAlign w:val="bottom"/>
            <w:gridSpan w:val="2"/>
          </w:tcPr>
          <w:p>
            <w:pPr>
              <w:jc w:val="center"/>
              <w:ind w:right="283"/>
              <w:spacing w:after="0"/>
              <w:rPr>
                <w:sz w:val="20"/>
                <w:szCs w:val="20"/>
                <w:color w:val="auto"/>
              </w:rPr>
            </w:pPr>
            <w:r>
              <w:rPr>
                <w:rFonts w:ascii="Arial" w:cs="Arial" w:eastAsia="Arial" w:hAnsi="Arial"/>
                <w:sz w:val="18"/>
                <w:szCs w:val="18"/>
                <w:b w:val="1"/>
                <w:bCs w:val="1"/>
                <w:color w:val="auto"/>
                <w:w w:val="89"/>
              </w:rPr>
              <w:t>Depreciation</w:t>
            </w:r>
          </w:p>
        </w:tc>
        <w:tc>
          <w:tcPr>
            <w:tcW w:w="160" w:type="dxa"/>
            <w:vAlign w:val="bottom"/>
          </w:tcPr>
          <w:p>
            <w:pPr>
              <w:spacing w:after="0"/>
              <w:rPr>
                <w:sz w:val="18"/>
                <w:szCs w:val="18"/>
                <w:color w:val="auto"/>
              </w:rPr>
            </w:pPr>
          </w:p>
        </w:tc>
        <w:tc>
          <w:tcPr>
            <w:tcW w:w="1460" w:type="dxa"/>
            <w:vAlign w:val="bottom"/>
            <w:gridSpan w:val="2"/>
          </w:tcPr>
          <w:p>
            <w:pPr>
              <w:jc w:val="center"/>
              <w:ind w:right="303"/>
              <w:spacing w:after="0"/>
              <w:rPr>
                <w:sz w:val="20"/>
                <w:szCs w:val="20"/>
                <w:color w:val="auto"/>
              </w:rPr>
            </w:pPr>
            <w:r>
              <w:rPr>
                <w:rFonts w:ascii="Arial" w:cs="Arial" w:eastAsia="Arial" w:hAnsi="Arial"/>
                <w:sz w:val="18"/>
                <w:szCs w:val="18"/>
                <w:b w:val="1"/>
                <w:bCs w:val="1"/>
                <w:color w:val="auto"/>
                <w:w w:val="89"/>
              </w:rPr>
              <w:t>Net Realized</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Excess of) Net</w:t>
            </w:r>
          </w:p>
        </w:tc>
        <w:tc>
          <w:tcPr>
            <w:tcW w:w="160" w:type="dxa"/>
            <w:vAlign w:val="bottom"/>
          </w:tcPr>
          <w:p>
            <w:pPr>
              <w:spacing w:after="0"/>
              <w:rPr>
                <w:sz w:val="18"/>
                <w:szCs w:val="18"/>
                <w:color w:val="auto"/>
              </w:rPr>
            </w:pPr>
          </w:p>
        </w:tc>
        <w:tc>
          <w:tcPr>
            <w:tcW w:w="1460" w:type="dxa"/>
            <w:vAlign w:val="bottom"/>
            <w:gridSpan w:val="2"/>
          </w:tcPr>
          <w:p>
            <w:pPr>
              <w:jc w:val="center"/>
              <w:ind w:right="283"/>
              <w:spacing w:after="0"/>
              <w:rPr>
                <w:sz w:val="20"/>
                <w:szCs w:val="20"/>
                <w:color w:val="auto"/>
              </w:rPr>
            </w:pPr>
            <w:r>
              <w:rPr>
                <w:rFonts w:ascii="Arial" w:cs="Arial" w:eastAsia="Arial" w:hAnsi="Arial"/>
                <w:sz w:val="18"/>
                <w:szCs w:val="18"/>
                <w:b w:val="1"/>
                <w:bCs w:val="1"/>
                <w:color w:val="auto"/>
                <w:w w:val="81"/>
              </w:rPr>
              <w:t>on</w:t>
            </w:r>
          </w:p>
        </w:tc>
        <w:tc>
          <w:tcPr>
            <w:tcW w:w="160" w:type="dxa"/>
            <w:vAlign w:val="bottom"/>
          </w:tcPr>
          <w:p>
            <w:pPr>
              <w:spacing w:after="0"/>
              <w:rPr>
                <w:sz w:val="18"/>
                <w:szCs w:val="18"/>
                <w:color w:val="auto"/>
              </w:rPr>
            </w:pPr>
          </w:p>
        </w:tc>
        <w:tc>
          <w:tcPr>
            <w:tcW w:w="1460" w:type="dxa"/>
            <w:vAlign w:val="bottom"/>
            <w:gridSpan w:val="2"/>
          </w:tcPr>
          <w:p>
            <w:pPr>
              <w:jc w:val="center"/>
              <w:ind w:right="283"/>
              <w:spacing w:after="0"/>
              <w:rPr>
                <w:sz w:val="20"/>
                <w:szCs w:val="20"/>
                <w:color w:val="auto"/>
              </w:rPr>
            </w:pPr>
            <w:r>
              <w:rPr>
                <w:rFonts w:ascii="Arial" w:cs="Arial" w:eastAsia="Arial" w:hAnsi="Arial"/>
                <w:sz w:val="18"/>
                <w:szCs w:val="18"/>
                <w:b w:val="1"/>
                <w:bCs w:val="1"/>
                <w:color w:val="auto"/>
                <w:w w:val="83"/>
              </w:rPr>
              <w:t>Loss on</w:t>
            </w:r>
          </w:p>
        </w:tc>
        <w:tc>
          <w:tcPr>
            <w:tcW w:w="140" w:type="dxa"/>
            <w:vAlign w:val="bottom"/>
          </w:tcPr>
          <w:p>
            <w:pPr>
              <w:spacing w:after="0"/>
              <w:rPr>
                <w:sz w:val="18"/>
                <w:szCs w:val="18"/>
                <w:color w:val="auto"/>
              </w:rPr>
            </w:pPr>
          </w:p>
        </w:tc>
        <w:tc>
          <w:tcPr>
            <w:tcW w:w="1320" w:type="dxa"/>
            <w:vAlign w:val="bottom"/>
            <w:gridSpan w:val="2"/>
          </w:tcPr>
          <w:p>
            <w:pPr>
              <w:jc w:val="center"/>
              <w:ind w:right="123"/>
              <w:spacing w:after="0"/>
              <w:rPr>
                <w:sz w:val="20"/>
                <w:szCs w:val="20"/>
                <w:color w:val="auto"/>
              </w:rPr>
            </w:pPr>
            <w:r>
              <w:rPr>
                <w:rFonts w:ascii="Arial" w:cs="Arial" w:eastAsia="Arial" w:hAnsi="Arial"/>
                <w:sz w:val="18"/>
                <w:szCs w:val="18"/>
                <w:b w:val="1"/>
                <w:bCs w:val="1"/>
                <w:color w:val="auto"/>
                <w:w w:val="90"/>
              </w:rPr>
              <w:t>Distributable</w:t>
            </w:r>
          </w:p>
        </w:tc>
        <w:tc>
          <w:tcPr>
            <w:tcW w:w="0" w:type="dxa"/>
            <w:vAlign w:val="bottom"/>
          </w:tcPr>
          <w:p>
            <w:pPr>
              <w:spacing w:after="0"/>
              <w:rPr>
                <w:sz w:val="1"/>
                <w:szCs w:val="1"/>
                <w:color w:val="auto"/>
              </w:rPr>
            </w:pPr>
          </w:p>
        </w:tc>
      </w:tr>
      <w:tr>
        <w:trPr>
          <w:trHeight w:val="230"/>
        </w:trPr>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Investment Income</w:t>
            </w:r>
          </w:p>
        </w:tc>
        <w:tc>
          <w:tcPr>
            <w:tcW w:w="160" w:type="dxa"/>
            <w:vAlign w:val="bottom"/>
          </w:tcPr>
          <w:p>
            <w:pPr>
              <w:spacing w:after="0"/>
              <w:rPr>
                <w:sz w:val="20"/>
                <w:szCs w:val="20"/>
                <w:color w:val="auto"/>
              </w:rPr>
            </w:pPr>
          </w:p>
        </w:tc>
        <w:tc>
          <w:tcPr>
            <w:tcW w:w="1460" w:type="dxa"/>
            <w:vAlign w:val="bottom"/>
            <w:gridSpan w:val="2"/>
          </w:tcPr>
          <w:p>
            <w:pPr>
              <w:jc w:val="center"/>
              <w:ind w:right="303"/>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Pr>
          <w:p>
            <w:pPr>
              <w:spacing w:after="0"/>
              <w:rPr>
                <w:sz w:val="20"/>
                <w:szCs w:val="20"/>
                <w:color w:val="auto"/>
              </w:rPr>
            </w:pPr>
          </w:p>
        </w:tc>
        <w:tc>
          <w:tcPr>
            <w:tcW w:w="1460" w:type="dxa"/>
            <w:vAlign w:val="bottom"/>
            <w:gridSpan w:val="2"/>
          </w:tcPr>
          <w:p>
            <w:pPr>
              <w:jc w:val="center"/>
              <w:ind w:right="303"/>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320" w:type="dxa"/>
            <w:vAlign w:val="bottom"/>
            <w:gridSpan w:val="2"/>
          </w:tcPr>
          <w:p>
            <w:pPr>
              <w:jc w:val="center"/>
              <w:ind w:right="123"/>
              <w:spacing w:after="0"/>
              <w:rPr>
                <w:sz w:val="20"/>
                <w:szCs w:val="20"/>
                <w:color w:val="auto"/>
              </w:rPr>
            </w:pPr>
            <w:r>
              <w:rPr>
                <w:rFonts w:ascii="Arial" w:cs="Arial" w:eastAsia="Arial" w:hAnsi="Arial"/>
                <w:sz w:val="18"/>
                <w:szCs w:val="18"/>
                <w:b w:val="1"/>
                <w:bCs w:val="1"/>
                <w:color w:val="auto"/>
                <w:w w:val="88"/>
              </w:rPr>
              <w:t>Earnings</w:t>
            </w:r>
          </w:p>
        </w:tc>
        <w:tc>
          <w:tcPr>
            <w:tcW w:w="0" w:type="dxa"/>
            <w:vAlign w:val="bottom"/>
          </w:tcPr>
          <w:p>
            <w:pPr>
              <w:spacing w:after="0"/>
              <w:rPr>
                <w:sz w:val="1"/>
                <w:szCs w:val="1"/>
                <w:color w:val="auto"/>
              </w:rPr>
            </w:pPr>
          </w:p>
        </w:tc>
      </w:tr>
      <w:tr>
        <w:trPr>
          <w:trHeight w:val="194"/>
        </w:trPr>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5"/>
          </w:tcPr>
          <w:p>
            <w:pPr>
              <w:jc w:val="right"/>
              <w:ind w:right="1123"/>
              <w:spacing w:after="0" w:line="194" w:lineRule="exact"/>
              <w:rPr>
                <w:sz w:val="20"/>
                <w:szCs w:val="20"/>
                <w:color w:val="auto"/>
              </w:rPr>
            </w:pPr>
            <w:r>
              <w:rPr>
                <w:rFonts w:ascii="Arial" w:cs="Arial" w:eastAsia="Arial" w:hAnsi="Arial"/>
                <w:sz w:val="18"/>
                <w:szCs w:val="18"/>
                <w:b w:val="1"/>
                <w:bCs w:val="1"/>
                <w:color w:val="auto"/>
              </w:rPr>
              <w:t>(In thousands)</w:t>
            </w: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17,099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17,099</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83"/>
              <w:spacing w:after="0"/>
              <w:rPr>
                <w:sz w:val="20"/>
                <w:szCs w:val="20"/>
                <w:color w:val="auto"/>
              </w:rPr>
            </w:pPr>
            <w:r>
              <w:rPr>
                <w:rFonts w:ascii="Arial" w:cs="Arial" w:eastAsia="Arial" w:hAnsi="Arial"/>
                <w:sz w:val="18"/>
                <w:szCs w:val="18"/>
                <w:color w:val="auto"/>
              </w:rPr>
              <w:t>(14,236)</w:t>
            </w:r>
          </w:p>
        </w:tc>
        <w:tc>
          <w:tcPr>
            <w:tcW w:w="160" w:type="dxa"/>
            <w:vAlign w:val="bottom"/>
          </w:tcPr>
          <w:p>
            <w:pPr>
              <w:spacing w:after="0"/>
              <w:rPr>
                <w:sz w:val="18"/>
                <w:szCs w:val="18"/>
                <w:color w:val="auto"/>
              </w:rPr>
            </w:pPr>
          </w:p>
        </w:tc>
        <w:tc>
          <w:tcPr>
            <w:tcW w:w="146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(14,236)</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60" w:type="dxa"/>
            <w:vAlign w:val="bottom"/>
            <w:gridSpan w:val="2"/>
          </w:tcPr>
          <w:p>
            <w:pPr>
              <w:jc w:val="right"/>
              <w:ind w:right="83"/>
              <w:spacing w:after="0"/>
              <w:rPr>
                <w:sz w:val="20"/>
                <w:szCs w:val="20"/>
                <w:color w:val="auto"/>
              </w:rPr>
            </w:pPr>
            <w:r>
              <w:rPr>
                <w:rFonts w:ascii="Arial" w:cs="Arial" w:eastAsia="Arial" w:hAnsi="Arial"/>
                <w:sz w:val="18"/>
                <w:szCs w:val="18"/>
                <w:color w:val="auto"/>
              </w:rPr>
              <w:t>(7,776)</w:t>
            </w:r>
          </w:p>
        </w:tc>
        <w:tc>
          <w:tcPr>
            <w:tcW w:w="1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(7,776)</w:t>
            </w:r>
          </w:p>
        </w:tc>
        <w:tc>
          <w:tcPr>
            <w:tcW w:w="0" w:type="dxa"/>
            <w:vAlign w:val="bottom"/>
          </w:tcPr>
          <w:p>
            <w:pPr>
              <w:spacing w:after="0"/>
              <w:rPr>
                <w:sz w:val="1"/>
                <w:szCs w:val="1"/>
                <w:color w:val="auto"/>
              </w:rPr>
            </w:pPr>
          </w:p>
        </w:tc>
      </w:tr>
      <w:tr>
        <w:trPr>
          <w:trHeight w:val="219"/>
        </w:trPr>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(14,236</w:t>
            </w:r>
          </w:p>
        </w:tc>
        <w:tc>
          <w:tcPr>
            <w:tcW w:w="220" w:type="dxa"/>
            <w:vAlign w:val="bottom"/>
          </w:tcPr>
          <w:p>
            <w:pPr>
              <w:jc w:val="right"/>
              <w:ind w:right="83"/>
              <w:spacing w:after="0"/>
              <w:rPr>
                <w:sz w:val="20"/>
                <w:szCs w:val="20"/>
                <w:color w:val="auto"/>
              </w:rPr>
            </w:pPr>
            <w:r>
              <w:rPr>
                <w:rFonts w:ascii="Arial" w:cs="Arial" w:eastAsia="Arial" w:hAnsi="Arial"/>
                <w:sz w:val="15"/>
                <w:szCs w:val="15"/>
                <w:color w:val="auto"/>
                <w:w w:val="79"/>
              </w:rPr>
              <w:t>)</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220" w:type="dxa"/>
            <w:vAlign w:val="bottom"/>
          </w:tcPr>
          <w:p>
            <w:pPr>
              <w:jc w:val="right"/>
              <w:ind w:right="83"/>
              <w:spacing w:after="0"/>
              <w:rPr>
                <w:sz w:val="20"/>
                <w:szCs w:val="20"/>
                <w:color w:val="auto"/>
              </w:rPr>
            </w:pPr>
            <w:r>
              <w:rPr>
                <w:rFonts w:ascii="Arial" w:cs="Arial" w:eastAsia="Arial" w:hAnsi="Arial"/>
                <w:sz w:val="15"/>
                <w:szCs w:val="15"/>
                <w:color w:val="auto"/>
                <w:w w:val="7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6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-2280920</wp:posOffset>
            </wp:positionV>
            <wp:extent cx="6878320" cy="134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78320" cy="13462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-2011680</wp:posOffset>
            </wp:positionV>
            <wp:extent cx="6878320" cy="142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78320" cy="14287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-588645</wp:posOffset>
            </wp:positionV>
            <wp:extent cx="6878320" cy="134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78320" cy="13462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-319405</wp:posOffset>
            </wp:positionV>
            <wp:extent cx="6878320" cy="142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78320" cy="142875"/>
                    </a:xfrm>
                    <a:prstGeom prst="rect">
                      <a:avLst/>
                    </a:prstGeom>
                    <a:noFill/>
                  </pic:spPr>
                </pic:pic>
              </a:graphicData>
            </a:graphic>
          </wp:anchor>
        </w:drawing>
      </w:r>
    </w:p>
    <w:p>
      <w:pPr>
        <w:spacing w:after="0" w:line="1031" w:lineRule="exact"/>
        <w:rPr>
          <w:sz w:val="20"/>
          <w:szCs w:val="20"/>
          <w:color w:val="auto"/>
        </w:rPr>
      </w:pPr>
    </w:p>
    <w:p>
      <w:pPr>
        <w:sectPr>
          <w:pgSz w:w="11900" w:h="16838" w:orient="portrait"/>
          <w:cols w:equalWidth="0" w:num="2">
            <w:col w:w="4000" w:space="720"/>
            <w:col w:w="6700"/>
          </w:cols>
          <w:pgMar w:left="240" w:top="890" w:right="239" w:bottom="1440" w:gutter="0" w:footer="0" w:header="0"/>
          <w:type w:val="continuous"/>
        </w:sectPr>
      </w:pPr>
    </w:p>
    <w:p>
      <w:pPr>
        <w:spacing w:after="0" w:line="1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Investment Management Agreement was reapproved by the Board on July 27, 2018. On October 30, 2018, the shareholders, at a special meeting of the stockholders, approved a new Investment Management Agreement to replace the existing Investment Management Agreement which will go into effect upon a change of control of the Advisor. Under the terms of the Investment Management Agreement, the Advisor determines the composition of the Company’s investment portfolio, the nature and timing of the changes to the investment portfolio and the manner of implementing such changes; identifies, evaluates and negotiates the structure of the investments the Company makes (including performing due diligence on the Company’s prospective portfolio companies); and closes, monitors and administers the investments the Company makes, including the exercise of any voting or consent rights.</w:t>
      </w:r>
    </w:p>
    <w:p>
      <w:pPr>
        <w:spacing w:after="0" w:line="15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Advisor’s services under the Investment Management Agreement are not exclusive to the Company, and the Advisor is free to furnish similar services to other entities so long as its services to the Company are not impaired. The Advisor is a registered investment adviser with the SEC. The Advisor receives fees for providing services to the Company under the Investment Management Agreement, consisting of two components, a base management fee and an incentive fee.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Through October 30, 2018, the base management fee is calculated at an annual rate of 2.00% of the Company’s gross assets (less cash and cash equivalents) including any assets acquired with the proceeds of leverage. From and after October 31, 2018, the first date on which the reduced asset coverage requirements in Section 61(a)(2) of the 1940 Act apply to the Company, the base management fee was and will be calculated at an annual rate of 2.00% of the Company’s gross assets (less cash and cash equivalents) including any assets acquired with the proceeds of leverage; provided, that, to the extent the Company’s gross assets (less cash and cash equivalents) exceed $250 million, the base management fee on the amount of such excess over $250 million will be calculated at an annual rate of 1.60% of the Company’s gross assets (less cash and cash equivalents) including any assets acquired with the proceeds of leverage. The base management fee is payable monthly in arrears and is prorated for any partial month.</w:t>
      </w:r>
    </w:p>
    <w:p>
      <w:pPr>
        <w:spacing w:after="0" w:line="18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base management fee payable at December 31, 2018 and 2017 was $0.4 million. The base management fee expense was $4.6 million, $3.8 million and $4.7 million for the years ended December 31, 2018, 2017 and 2016, respectively.</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incentive fee has two parts, as follows: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first part, which is subject to the Incentive Fee Cap and Deferral Mechanism, as defined below, is calculated and payable quarterly in arrears based</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on the Company’s pre-incentive fee net investment income for the immediately preceding calendar quarter. For this purpose, “Pre-Incentive Fee Net</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Investment Income” means interest income, dividend income and any other income (including any other fees (other than fees for providing managerial</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assistance), such as commitment, origination, structuring, diligence and consulting fees or other fees received from portfolio companies) accrued during the</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calendar quarter, minus expenses for the quarter (including the base management fee, expenses payable under the Administration Agreement (as defined</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below), and any interest expense and any dividends paid on any issued and outstanding preferred stock, but excluding the incentive fee). Pre-Incentive Fee</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Net Investment Income includes, in the case of investments with a deferred interest feature (such as original issue discount, debt instruments with PIK</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interest and zero coupon securities), accrued income the Company has not yet received in cash. The incentive fee with respect to the Pre-Incentive Fee Net</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Investment Income is 20.00% of the amount, if any, by which the Pre-Incentive Fee Net Investment Income for the immediately preceding calendar quarter</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exceeds a hurdle rate of 1.75% (which is 7.00% annualized) of the Company’s net assets at the end of the immediately preceding calendar quarter, subject to</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“catch-up” provision measured as of the end of each calendar quarter. Under this provision, in any calendar quarter, the Advisor receives no incentive fee</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until the Pre-Incentive Fee Net Investment Income equals the hurdle rate of 1.75%, but then receives, as a “catch-up,” 100.00% of the Pre-Incentive Fee Net</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Investment Income with respect to that portion of such Pre-Incentive Fee Net Investment Income, if any, that exceeds the hurdle rate but is less than</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2.1875% quarterly (which is 8.75% annualized). The effect of this “catch-up” provision is that, if Pre-Incentive Fee Net Investment Income exceeds</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2.1875% in any calendar quarter, the Advisor will receive 20.00% of the Pre-Incentive Fee Net Investment Income as if the hurdle rate did not apply.</w:t>
      </w:r>
    </w:p>
    <w:p>
      <w:pPr>
        <w:spacing w:after="0" w:line="240" w:lineRule="exact"/>
        <w:rPr>
          <w:sz w:val="20"/>
          <w:szCs w:val="20"/>
          <w:color w:val="auto"/>
        </w:rPr>
      </w:pPr>
    </w:p>
    <w:p>
      <w:pPr>
        <w:jc w:val="both"/>
        <w:ind w:left="320" w:firstLine="318"/>
        <w:spacing w:after="0" w:line="266"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the Company may pay an incentive fee in a quarter in which the Company incurs a loss. For example, if the Company receives Pre-Incentive Fee Net Investment Income in excess of the quarterly minimum hurdle rate, the Company will pay the applicable incentive fee up to the Incentive Fee Cap, defined below, even if the Company has incurred a loss in that quarter due to realized and unrealized capital losses. The Company’s net investment income used to calculate this part of the incentive fee is also included in the amount of the Company’s gross assets used to calculate the 2.00% base management fee. These calculations are appropriately prorated for any period of less than three months and adjusted for any share issuances or repurchases during the current quarter.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jc w:val="both"/>
        <w:ind w:left="320" w:firstLine="318"/>
        <w:spacing w:after="0" w:line="300" w:lineRule="auto"/>
        <w:rPr>
          <w:sz w:val="20"/>
          <w:szCs w:val="20"/>
          <w:color w:val="auto"/>
        </w:rPr>
      </w:pPr>
      <w:r>
        <w:rPr>
          <w:rFonts w:ascii="Arial" w:cs="Arial" w:eastAsia="Arial" w:hAnsi="Arial"/>
          <w:sz w:val="15"/>
          <w:szCs w:val="15"/>
          <w:color w:val="auto"/>
        </w:rPr>
        <w:t>Commencing with the calendar quarter beginning July 1, 2014, the incentive fee on Pre-Incentive Fee Net Investment Income is subject to a fee cap and deferral mechanism which is determined based upon a look-back period of up to three years and is expensed when incurred. For this purpose, the look-back period for the incentive fee based on Pre-Incentive Fee Net Investment Income (the “Incentive Fee Look-back Period”) commenced on July 1, 2014 and increased by one quarter in length at the end of each calendar quarter until June 30, 2017, after which time, the Incentive Fee Look-back Period includes the relevant calendar quarter and the 11 preceding full calendar quarters. Each quarterly incentive fee payable on Pre-Incentive Fee Net Investment Income is subject to a cap (the “Incentive Fee Cap”) and a deferral mechanism through which the Advisor may recoup a portion of such deferred incentive fees (collectively, the “Incentive Fee Cap and Deferral Mechanism”). The Incentive Fee Cap is equal to (a) 20.00% of Cumulative Pre-Incentive Fee Net Return (as defined below) during the Incentive Fee Look-back Period less (b) cumulative incentive fees of any kind paid to the Advisor during the Incentive Fee Look-back Period. To the extent the Incentive Fee Cap is zero or a negative value in any calendar quarter, the Company will not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The Company only pays incentive fees on Pre-Incentive Fee Net Investment Income to the extent allowed by the Incentive Fee Cap and Deferral Mechanism. “Cumulative Pre-Incentive Fee Net Return” during any Incentive Fee Look-back Period means the sum of (a) Pre-Incentive Fee Net Investment Income and the base management fee for each calendar quarter during the Incentive Fee Look-back Period and (b) the sum of cumulative realized capital gains and losses, cumulative unrealized capital appreciation and cumulative unrealized capital depreciation during the applicable Incentive Fee Look-back Period.</w:t>
      </w:r>
    </w:p>
    <w:p>
      <w:pPr>
        <w:spacing w:after="0" w:line="372" w:lineRule="exact"/>
        <w:rPr>
          <w:sz w:val="20"/>
          <w:szCs w:val="20"/>
          <w:color w:val="auto"/>
        </w:rPr>
      </w:pPr>
    </w:p>
    <w:p>
      <w:pPr>
        <w:jc w:val="both"/>
        <w:ind w:left="320" w:firstLine="318"/>
        <w:spacing w:after="0" w:line="307" w:lineRule="auto"/>
        <w:rPr>
          <w:sz w:val="20"/>
          <w:szCs w:val="20"/>
          <w:color w:val="auto"/>
        </w:rPr>
      </w:pPr>
      <w:r>
        <w:rPr>
          <w:rFonts w:ascii="Arial" w:cs="Arial" w:eastAsia="Arial" w:hAnsi="Arial"/>
          <w:sz w:val="15"/>
          <w:szCs w:val="15"/>
          <w:color w:val="auto"/>
        </w:rPr>
        <w:t>The second part of the incentive fee is determined and payable in arrears as of the end of each calendar year (or, upon termination of the Investment Management Agreement, as of the termination date), and equals 20.00% of the Company’s realized capital gains, if any, on a cumulative basis from the date of the election to be a BDC through the end of each calendar year, computed net of all realized capital losses and unrealized capital depreciation on a cumulative basis through the end of such year, less all previous amounts paid in respect of the capital gain incentive fee. However, in accordance with GAAP, the Company is required to include the aggregate unrealized capital appreciation on investments in the calculation and accrue a capital gain incentive fee on a quarterly basis, as if such unrealized capital appreciation were realized, even though such unrealized capital appreciation is not permitted to be considered in calculating the fee actually payable under the Investment Management Agreement.</w:t>
      </w:r>
    </w:p>
    <w:p>
      <w:pPr>
        <w:spacing w:after="0" w:line="15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March 6, 2018, the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are not subject to recoupment. During the years ended December 31, 2018 and 2017, the Advisor waived performance based incentive fees of $1.2 million and $0.1 million, respectively, which the Advisor would have otherwise earned.</w:t>
      </w:r>
    </w:p>
    <w:p>
      <w:pPr>
        <w:spacing w:after="0" w:line="191"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The net performance based incentive fee expense was $3.2 million, $1.6 million and $2.1 million for the years ended December 31, 2018, 2017 and 2016, respectively. The incentive fee on Pre-Incentive Fee Net Investment Income was subject to the Incentive Fee Cap and Deferral Mechanism for the years ended December 31, 2018, 2017 and 2016, which resulted in $0.2 million, $1.1 million and $1.7 million, respectively, of reduced expense and additional net investment income. The performance based incentive fee payable at December 31, 2018 and 2017 was $1.0 million and $0.5 million, respectively. The entire incentive fee payable at December 31, 2018 and 2017 represented part one of the incentive fee.</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entered into an administration agreement (the “Administration Agreement”) with the Advisor to provide administrative services to the Company. For providing these services, facilities and personnel, the Company reimburses the Advisor for the Company’s allocable portion of overhead and other expenses incurred by the Advisor in performing its obligations under the Administration Agreement, including rent, the fees and expenses associated with performing compliance functions and the Company’s allocable portion of the costs of compensation and related expenses of the Company’s Chief Financial Officer and Chief Compliance Officer and their respective staffs. The administrative fee expense was $0.7 million, $0.7 million and $0.9 million for the years ended December 31, 2018, 2017 and 2016, respectively.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Company’s investments as of December 31, 2018 and 2017:</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December 31, 2018</w:t>
            </w:r>
          </w:p>
        </w:tc>
        <w:tc>
          <w:tcPr>
            <w:tcW w:w="480" w:type="dxa"/>
            <w:vAlign w:val="bottom"/>
          </w:tcPr>
          <w:p>
            <w:pPr>
              <w:spacing w:after="0"/>
              <w:rPr>
                <w:sz w:val="20"/>
                <w:szCs w:val="20"/>
                <w:color w:val="auto"/>
              </w:rPr>
            </w:pPr>
          </w:p>
        </w:tc>
        <w:tc>
          <w:tcPr>
            <w:tcW w:w="26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19"/>
        </w:trPr>
        <w:tc>
          <w:tcPr>
            <w:tcW w:w="44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740"/>
              <w:spacing w:after="0"/>
              <w:rPr>
                <w:sz w:val="20"/>
                <w:szCs w:val="20"/>
                <w:color w:val="auto"/>
              </w:rPr>
            </w:pPr>
            <w:r>
              <w:rPr>
                <w:rFonts w:ascii="Arial" w:cs="Arial" w:eastAsia="Arial" w:hAnsi="Arial"/>
                <w:sz w:val="18"/>
                <w:szCs w:val="18"/>
                <w:b w:val="1"/>
                <w:bCs w:val="1"/>
                <w:color w:val="auto"/>
                <w:w w:val="94"/>
              </w:rPr>
              <w:t>Cost</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4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3"/>
          </w:tcPr>
          <w:p>
            <w:pPr>
              <w:jc w:val="right"/>
              <w:spacing w:after="0" w:line="206" w:lineRule="exact"/>
              <w:rPr>
                <w:sz w:val="20"/>
                <w:szCs w:val="20"/>
                <w:color w:val="auto"/>
              </w:rPr>
            </w:pPr>
            <w:r>
              <w:rPr>
                <w:rFonts w:ascii="Arial" w:cs="Arial" w:eastAsia="Arial" w:hAnsi="Arial"/>
                <w:sz w:val="18"/>
                <w:szCs w:val="18"/>
                <w:b w:val="1"/>
                <w:bCs w:val="1"/>
                <w:color w:val="auto"/>
              </w:rPr>
              <w:t>(In thousands)</w:t>
            </w: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Pr>
          <w:p>
            <w:pPr>
              <w:ind w:left="160"/>
              <w:spacing w:after="0"/>
              <w:rPr>
                <w:sz w:val="20"/>
                <w:szCs w:val="20"/>
                <w:color w:val="auto"/>
              </w:rPr>
            </w:pPr>
            <w:r>
              <w:rPr>
                <w:rFonts w:ascii="Arial" w:cs="Arial" w:eastAsia="Arial" w:hAnsi="Arial"/>
                <w:sz w:val="18"/>
                <w:szCs w:val="18"/>
                <w:color w:val="auto"/>
              </w:rPr>
              <w:t>Debt</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217,093</w:t>
            </w:r>
          </w:p>
        </w:tc>
        <w:tc>
          <w:tcPr>
            <w:tcW w:w="2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216,401</w:t>
            </w:r>
          </w:p>
        </w:tc>
        <w:tc>
          <w:tcPr>
            <w:tcW w:w="220" w:type="dxa"/>
            <w:vAlign w:val="bottom"/>
          </w:tcPr>
          <w:p>
            <w:pPr>
              <w:spacing w:after="0"/>
              <w:rPr>
                <w:sz w:val="18"/>
                <w:szCs w:val="18"/>
                <w:color w:val="auto"/>
              </w:rPr>
            </w:pP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204,235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203,793</w:t>
            </w: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6,182</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12"/>
        </w:trPr>
        <w:tc>
          <w:tcPr>
            <w:tcW w:w="4460" w:type="dxa"/>
            <w:vAlign w:val="bottom"/>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7,640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12,031</w:t>
            </w:r>
          </w:p>
        </w:tc>
        <w:tc>
          <w:tcPr>
            <w:tcW w:w="2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25"/>
        </w:trPr>
        <w:tc>
          <w:tcPr>
            <w:tcW w:w="4460" w:type="dxa"/>
            <w:vAlign w:val="bottom"/>
          </w:tcPr>
          <w:p>
            <w:pPr>
              <w:ind w:left="160"/>
              <w:spacing w:after="0"/>
              <w:rPr>
                <w:sz w:val="20"/>
                <w:szCs w:val="20"/>
                <w:color w:val="auto"/>
              </w:rPr>
            </w:pPr>
            <w:r>
              <w:rPr>
                <w:rFonts w:ascii="Arial" w:cs="Arial" w:eastAsia="Arial" w:hAnsi="Arial"/>
                <w:sz w:val="18"/>
                <w:szCs w:val="18"/>
                <w:color w:val="auto"/>
              </w:rPr>
              <w:t>Equity interest in HSLFI</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13,262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13,243</w:t>
            </w:r>
          </w:p>
        </w:tc>
        <w:tc>
          <w:tcPr>
            <w:tcW w:w="4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6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250,921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248,441</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223,077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222,099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Company’s investments by industry sector as of December 31, 2018 and 2017:</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December 31, 2018</w:t>
            </w:r>
          </w:p>
        </w:tc>
        <w:tc>
          <w:tcPr>
            <w:tcW w:w="480" w:type="dxa"/>
            <w:vAlign w:val="bottom"/>
          </w:tcPr>
          <w:p>
            <w:pPr>
              <w:spacing w:after="0"/>
              <w:rPr>
                <w:sz w:val="20"/>
                <w:szCs w:val="20"/>
                <w:color w:val="auto"/>
              </w:rPr>
            </w:pPr>
          </w:p>
        </w:tc>
        <w:tc>
          <w:tcPr>
            <w:tcW w:w="2660" w:type="dxa"/>
            <w:vAlign w:val="bottom"/>
            <w:gridSpan w:val="6"/>
          </w:tcPr>
          <w:p>
            <w:pPr>
              <w:ind w:left="32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19"/>
        </w:trPr>
        <w:tc>
          <w:tcPr>
            <w:tcW w:w="44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740"/>
              <w:spacing w:after="0"/>
              <w:rPr>
                <w:sz w:val="20"/>
                <w:szCs w:val="20"/>
                <w:color w:val="auto"/>
              </w:rPr>
            </w:pPr>
            <w:r>
              <w:rPr>
                <w:rFonts w:ascii="Arial" w:cs="Arial" w:eastAsia="Arial" w:hAnsi="Arial"/>
                <w:sz w:val="18"/>
                <w:szCs w:val="18"/>
                <w:b w:val="1"/>
                <w:bCs w:val="1"/>
                <w:color w:val="auto"/>
                <w:w w:val="94"/>
              </w:rPr>
              <w:t>Cost</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Fair Value</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4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3"/>
          </w:tcPr>
          <w:p>
            <w:pPr>
              <w:jc w:val="right"/>
              <w:spacing w:after="0" w:line="206" w:lineRule="exact"/>
              <w:rPr>
                <w:sz w:val="20"/>
                <w:szCs w:val="20"/>
                <w:color w:val="auto"/>
              </w:rPr>
            </w:pPr>
            <w:r>
              <w:rPr>
                <w:rFonts w:ascii="Arial" w:cs="Arial" w:eastAsia="Arial" w:hAnsi="Arial"/>
                <w:sz w:val="18"/>
                <w:szCs w:val="18"/>
                <w:b w:val="1"/>
                <w:bCs w:val="1"/>
                <w:color w:val="auto"/>
              </w:rPr>
              <w:t>(In thousands)</w:t>
            </w: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Pr>
          <w:p>
            <w:pPr>
              <w:ind w:left="160"/>
              <w:spacing w:after="0"/>
              <w:rPr>
                <w:sz w:val="20"/>
                <w:szCs w:val="20"/>
                <w:color w:val="auto"/>
              </w:rPr>
            </w:pPr>
            <w:r>
              <w:rPr>
                <w:rFonts w:ascii="Arial" w:cs="Arial" w:eastAsia="Arial" w:hAnsi="Arial"/>
                <w:sz w:val="18"/>
                <w:szCs w:val="18"/>
                <w:color w:val="auto"/>
              </w:rPr>
              <w:t>Biotechnology</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25,770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25,426</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21,249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22,694</w:t>
            </w: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Drug Delivery</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6,918</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Pr>
          <w:p>
            <w:pPr>
              <w:ind w:left="160"/>
              <w:spacing w:after="0"/>
              <w:rPr>
                <w:sz w:val="20"/>
                <w:szCs w:val="20"/>
                <w:color w:val="auto"/>
              </w:rPr>
            </w:pPr>
            <w:r>
              <w:rPr>
                <w:rFonts w:ascii="Arial" w:cs="Arial" w:eastAsia="Arial" w:hAnsi="Arial"/>
                <w:sz w:val="18"/>
                <w:szCs w:val="18"/>
                <w:color w:val="auto"/>
              </w:rPr>
              <w:t>Medical Device</w:t>
            </w:r>
          </w:p>
        </w:tc>
        <w:tc>
          <w:tcPr>
            <w:tcW w:w="3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47,504</w:t>
            </w: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47,869</w:t>
            </w:r>
          </w:p>
        </w:tc>
        <w:tc>
          <w:tcPr>
            <w:tcW w:w="4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37,374</w:t>
            </w:r>
          </w:p>
        </w:tc>
        <w:tc>
          <w:tcPr>
            <w:tcW w:w="20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37,306</w:t>
            </w: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10,754</w:t>
            </w:r>
          </w:p>
        </w:tc>
        <w:tc>
          <w:tcPr>
            <w:tcW w:w="4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19,823</w:t>
            </w:r>
          </w:p>
        </w:tc>
        <w:tc>
          <w:tcPr>
            <w:tcW w:w="20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19,773</w:t>
            </w: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Consumer-Related</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21,094</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22,061</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11,359</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12,314</w:t>
            </w:r>
          </w:p>
        </w:tc>
        <w:tc>
          <w:tcPr>
            <w:tcW w:w="0" w:type="dxa"/>
            <w:vAlign w:val="bottom"/>
          </w:tcPr>
          <w:p>
            <w:pPr>
              <w:spacing w:after="0"/>
              <w:rPr>
                <w:sz w:val="1"/>
                <w:szCs w:val="1"/>
                <w:color w:val="auto"/>
              </w:rPr>
            </w:pPr>
          </w:p>
        </w:tc>
      </w:tr>
      <w:tr>
        <w:trPr>
          <w:trHeight w:val="212"/>
        </w:trPr>
        <w:tc>
          <w:tcPr>
            <w:tcW w:w="4460" w:type="dxa"/>
            <w:vAlign w:val="bottom"/>
          </w:tcPr>
          <w:p>
            <w:pPr>
              <w:ind w:left="160"/>
              <w:spacing w:after="0"/>
              <w:rPr>
                <w:sz w:val="20"/>
                <w:szCs w:val="20"/>
                <w:color w:val="auto"/>
              </w:rPr>
            </w:pPr>
            <w:r>
              <w:rPr>
                <w:rFonts w:ascii="Arial" w:cs="Arial" w:eastAsia="Arial" w:hAnsi="Arial"/>
                <w:sz w:val="18"/>
                <w:szCs w:val="18"/>
                <w:color w:val="auto"/>
              </w:rPr>
              <w:t>Data Storage</w:t>
            </w:r>
          </w:p>
        </w:tc>
        <w:tc>
          <w:tcPr>
            <w:tcW w:w="3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14,132</w:t>
            </w: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10,036</w:t>
            </w:r>
          </w:p>
        </w:tc>
        <w:tc>
          <w:tcPr>
            <w:tcW w:w="4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4,226</w:t>
            </w:r>
          </w:p>
        </w:tc>
        <w:tc>
          <w:tcPr>
            <w:tcW w:w="2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Internet and Media</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38,200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38,132</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39,768</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39,763</w:t>
            </w:r>
          </w:p>
        </w:tc>
        <w:tc>
          <w:tcPr>
            <w:tcW w:w="0" w:type="dxa"/>
            <w:vAlign w:val="bottom"/>
          </w:tcPr>
          <w:p>
            <w:pPr>
              <w:spacing w:after="0"/>
              <w:rPr>
                <w:sz w:val="1"/>
                <w:szCs w:val="1"/>
                <w:color w:val="auto"/>
              </w:rPr>
            </w:pPr>
          </w:p>
        </w:tc>
      </w:tr>
      <w:tr>
        <w:trPr>
          <w:trHeight w:val="212"/>
        </w:trPr>
        <w:tc>
          <w:tcPr>
            <w:tcW w:w="4460" w:type="dxa"/>
            <w:vAlign w:val="bottom"/>
          </w:tcPr>
          <w:p>
            <w:pPr>
              <w:ind w:left="160"/>
              <w:spacing w:after="0"/>
              <w:rPr>
                <w:sz w:val="20"/>
                <w:szCs w:val="20"/>
                <w:color w:val="auto"/>
              </w:rPr>
            </w:pPr>
            <w:r>
              <w:rPr>
                <w:rFonts w:ascii="Arial" w:cs="Arial" w:eastAsia="Arial" w:hAnsi="Arial"/>
                <w:sz w:val="18"/>
                <w:szCs w:val="18"/>
                <w:color w:val="auto"/>
              </w:rPr>
              <w:t>Materials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9,013</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9,511</w:t>
            </w:r>
          </w:p>
        </w:tc>
        <w:tc>
          <w:tcPr>
            <w:tcW w:w="2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Networking</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460" w:type="dxa"/>
            <w:vAlign w:val="bottom"/>
          </w:tcPr>
          <w:p>
            <w:pPr>
              <w:ind w:left="160"/>
              <w:spacing w:after="0"/>
              <w:rPr>
                <w:sz w:val="20"/>
                <w:szCs w:val="20"/>
                <w:color w:val="auto"/>
              </w:rPr>
            </w:pPr>
            <w:r>
              <w:rPr>
                <w:rFonts w:ascii="Arial" w:cs="Arial" w:eastAsia="Arial" w:hAnsi="Arial"/>
                <w:sz w:val="18"/>
                <w:szCs w:val="18"/>
                <w:color w:val="auto"/>
              </w:rPr>
              <w:t>Power Management</w:t>
            </w:r>
          </w:p>
        </w:tc>
        <w:tc>
          <w:tcPr>
            <w:tcW w:w="3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512</w:t>
            </w:r>
          </w:p>
        </w:tc>
        <w:tc>
          <w:tcPr>
            <w:tcW w:w="4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Semiconductors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Pr>
          <w:p>
            <w:pPr>
              <w:ind w:left="160"/>
              <w:spacing w:after="0"/>
              <w:rPr>
                <w:sz w:val="20"/>
                <w:szCs w:val="20"/>
                <w:color w:val="auto"/>
              </w:rPr>
            </w:pPr>
            <w:r>
              <w:rPr>
                <w:rFonts w:ascii="Arial" w:cs="Arial" w:eastAsia="Arial" w:hAnsi="Arial"/>
                <w:sz w:val="18"/>
                <w:szCs w:val="18"/>
                <w:color w:val="auto"/>
              </w:rPr>
              <w:t>Software</w:t>
            </w:r>
          </w:p>
        </w:tc>
        <w:tc>
          <w:tcPr>
            <w:tcW w:w="3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40,942</w:t>
            </w: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40,912</w:t>
            </w:r>
          </w:p>
        </w:tc>
        <w:tc>
          <w:tcPr>
            <w:tcW w:w="4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58,516</w:t>
            </w:r>
          </w:p>
        </w:tc>
        <w:tc>
          <w:tcPr>
            <w:tcW w:w="20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58,744</w:t>
            </w: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Cleantech</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Pr>
          <w:p>
            <w:pPr>
              <w:ind w:left="160"/>
              <w:spacing w:after="0"/>
              <w:rPr>
                <w:sz w:val="20"/>
                <w:szCs w:val="20"/>
                <w:color w:val="auto"/>
              </w:rPr>
            </w:pPr>
            <w:r>
              <w:rPr>
                <w:rFonts w:ascii="Arial" w:cs="Arial" w:eastAsia="Arial" w:hAnsi="Arial"/>
                <w:sz w:val="18"/>
                <w:szCs w:val="18"/>
                <w:color w:val="auto"/>
              </w:rPr>
              <w:t>Alternative Energy</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Efficiency</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8"/>
                <w:szCs w:val="18"/>
                <w:color w:val="auto"/>
              </w:rPr>
              <w:t>Healthcare Information and Services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Diagnostics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4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23,720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23,977</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8"/>
                <w:szCs w:val="18"/>
                <w:color w:val="auto"/>
              </w:rPr>
              <w:t>Investment funds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HSLFI</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13,243</w:t>
            </w:r>
          </w:p>
        </w:tc>
        <w:tc>
          <w:tcPr>
            <w:tcW w:w="4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Total investments</w:t>
            </w: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60" w:type="dxa"/>
            <w:vAlign w:val="bottom"/>
            <w:vMerge w:val="continue"/>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250,921</w:t>
            </w:r>
          </w:p>
        </w:tc>
        <w:tc>
          <w:tcPr>
            <w:tcW w:w="2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248,441</w:t>
            </w:r>
          </w:p>
        </w:tc>
        <w:tc>
          <w:tcPr>
            <w:tcW w:w="220" w:type="dxa"/>
            <w:vAlign w:val="bottom"/>
          </w:tcPr>
          <w:p>
            <w:pPr>
              <w:spacing w:after="0"/>
              <w:rPr>
                <w:sz w:val="18"/>
                <w:szCs w:val="18"/>
                <w:color w:val="auto"/>
              </w:rPr>
            </w:pP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223,077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222,099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Horizon Secured Loan Fund I LLC</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June, 1 2018, the Company and Arena formed a joint venture, HSLFI, to make investments, either directly or indirectly through subsidiaries, primarily in secured loans to development-stage companies in the technology, life science, healthcare information and services and cleantech industries. HSLFI was formed as a Delaware limited liability company and is not consolidated by either the Company or Arena for financial reporting purposes. Investments held by HSLFI are measured at fair value using the same valuation methodology as described in Note 6. As of December 31, 2018, HSLFI had total assets of $26.4 million. HSLFI’s portfolio consisted of debt investments in four portfolio companies as of December 31, 2018. As of December 31, 2018, the largest investment in a single portfolio company in the HSLFI’s portfolio in aggregate principal amount was $8.3 million and the four largest investments in portfolio companies in the HSLFI totaled $25.0 million. As of December 31, 2018, HSLFI had no investments on non-accrual status. HSLFI invests in portfolio companies in the same industries in which the Company may directly invest.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invests cash or securities in portfolio companies in HSLFI in exchange for limited liability company equity interests in HSLFI. As of December 31, 2018, the Company and Arena each owned 50.0% of the equity interests of HSLFI. The Company had an original commitment to fund $25.0 million of equity interests in HSLFI. As of December 31, 2018, $11.7 million was unfunded. The Company’s investment in HSLFI consisted of an equity contribution of $13.3 million as of December 31, 2018.</w:t>
      </w:r>
    </w:p>
    <w:p>
      <w:pPr>
        <w:spacing w:after="0" w:line="19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and Arena each appointed two members to HSLFI’s four-person board of managers. All material decisions with respect to HSLFI, including those involving its investment portfolio, require unanimous approval of a quorum of the board of managers. Quorum is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5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Horizon Funding I, LLC (“HFI”) was formed as a Delaware limited liability company on May 9, 2018, with HSLFI as its sole member. HFI is a special purpose bankruptcy-remote entity and is a separate legal entity from HSLFI. Any assets conveyed to HFI are not available to creditors of HSLFI or any other entity other than HFI’s lenders.</w:t>
      </w:r>
    </w:p>
    <w:p>
      <w:pPr>
        <w:spacing w:after="0" w:line="18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on June 1, 2018, HSLFI entered into a sale and servicing agreement with HFI, as Issuer, and the Company, as Servicer, pursuant to which HSLFI will sell or contribute to HFI certain secured loans made to certain portfolio companies. HFI entered into a Note Funding Agreement (the “NYL Facility”) with several entities owned or affiliated with New York Life Insurance Company (“Noteholders”) for an aggregate purchase price of up to $100.0 million, with an accordion feature of up to $200.0 million at the mutual discretion and agreement of HSLFI and the Noteholders. The Note Funding Agreement has an investment period that ends on June 1, 2020, if not extended, followed by a five year amortization period and a scheduled final payment date of June 10, 2025, subject to any extension of the investment period. Any notes issued by HFI will be collateralized by all investments held by HFI and permit an advance rate of up to 67% of the aggregate principal amount of eligible debt investments. The interest rate on the notes issued under the NYL Facility is based on the three year USD mid-market swap rate plus a margin of between 2.75% and 3.25% depending on the rating of such notes at the time of issuance. There were no advances made by the Noteholders as of December 31, 2018.</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HSLFI’s individual investments as of December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23"/>
                <w:szCs w:val="23"/>
                <w:b w:val="1"/>
                <w:bCs w:val="1"/>
                <w:color w:val="auto"/>
                <w:vertAlign w:val="superscript"/>
              </w:rPr>
              <w:t>(1)</w:t>
            </w:r>
          </w:p>
        </w:tc>
        <w:tc>
          <w:tcPr>
            <w:tcW w:w="17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Sector</w:t>
            </w:r>
          </w:p>
        </w:tc>
        <w:tc>
          <w:tcPr>
            <w:tcW w:w="364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 xml:space="preserve">Type of Investment </w:t>
            </w:r>
            <w:r>
              <w:rPr>
                <w:rFonts w:ascii="Arial" w:cs="Arial" w:eastAsia="Arial" w:hAnsi="Arial"/>
                <w:sz w:val="23"/>
                <w:szCs w:val="23"/>
                <w:b w:val="1"/>
                <w:bCs w:val="1"/>
                <w:color w:val="auto"/>
                <w:vertAlign w:val="superscript"/>
              </w:rPr>
              <w:t>(2)(3)(4)</w:t>
            </w:r>
          </w:p>
        </w:tc>
        <w:tc>
          <w:tcPr>
            <w:tcW w:w="760" w:type="dxa"/>
            <w:vAlign w:val="bottom"/>
          </w:tcPr>
          <w:p>
            <w:pPr>
              <w:spacing w:after="0"/>
              <w:rPr>
                <w:sz w:val="15"/>
                <w:szCs w:val="15"/>
                <w:color w:val="auto"/>
              </w:rPr>
            </w:pPr>
          </w:p>
        </w:tc>
        <w:tc>
          <w:tcPr>
            <w:tcW w:w="820" w:type="dxa"/>
            <w:vAlign w:val="bottom"/>
          </w:tcPr>
          <w:p>
            <w:pPr>
              <w:jc w:val="right"/>
              <w:ind w:right="169"/>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Cost of</w:t>
            </w:r>
          </w:p>
        </w:tc>
        <w:tc>
          <w:tcPr>
            <w:tcW w:w="14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2"/>
        </w:trPr>
        <w:tc>
          <w:tcPr>
            <w:tcW w:w="2420" w:type="dxa"/>
            <w:vAlign w:val="bottom"/>
            <w:gridSpan w:val="3"/>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36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4"/>
          </w:tcPr>
          <w:p>
            <w:pPr>
              <w:ind w:left="100"/>
              <w:spacing w:after="0" w:line="173" w:lineRule="exact"/>
              <w:rPr>
                <w:sz w:val="20"/>
                <w:szCs w:val="20"/>
                <w:color w:val="auto"/>
              </w:rPr>
            </w:pPr>
            <w:r>
              <w:rPr>
                <w:rFonts w:ascii="Arial" w:cs="Arial" w:eastAsia="Arial" w:hAnsi="Arial"/>
                <w:sz w:val="12"/>
                <w:szCs w:val="12"/>
                <w:b w:val="1"/>
                <w:bCs w:val="1"/>
                <w:color w:val="auto"/>
              </w:rPr>
              <w:t>Investments</w:t>
            </w:r>
            <w:r>
              <w:rPr>
                <w:rFonts w:ascii="Arial" w:cs="Arial" w:eastAsia="Arial" w:hAnsi="Arial"/>
                <w:sz w:val="19"/>
                <w:szCs w:val="19"/>
                <w:b w:val="1"/>
                <w:bCs w:val="1"/>
                <w:color w:val="auto"/>
                <w:vertAlign w:val="superscript"/>
              </w:rPr>
              <w:t>(5)</w:t>
            </w:r>
          </w:p>
        </w:tc>
        <w:tc>
          <w:tcPr>
            <w:tcW w:w="1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3640" w:type="dxa"/>
            <w:vAlign w:val="bottom"/>
            <w:tcBorders>
              <w:top w:val="single" w:sz="8" w:color="auto"/>
            </w:tcBorders>
          </w:tcPr>
          <w:p>
            <w:pPr>
              <w:ind w:left="900"/>
              <w:spacing w:after="0" w:line="139"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Debt Investments — Life science</w:t>
            </w:r>
          </w:p>
        </w:tc>
        <w:tc>
          <w:tcPr>
            <w:tcW w:w="172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00" w:type="dxa"/>
            <w:vAlign w:val="bottom"/>
            <w:gridSpan w:val="2"/>
          </w:tcPr>
          <w:p>
            <w:pPr>
              <w:spacing w:after="0" w:line="127" w:lineRule="exact"/>
              <w:rPr>
                <w:sz w:val="20"/>
                <w:szCs w:val="20"/>
                <w:color w:val="auto"/>
              </w:rPr>
            </w:pPr>
            <w:r>
              <w:rPr>
                <w:rFonts w:ascii="Arial" w:cs="Arial" w:eastAsia="Arial" w:hAnsi="Arial"/>
                <w:sz w:val="14"/>
                <w:szCs w:val="14"/>
                <w:color w:val="auto"/>
              </w:rPr>
              <w:t>Celsion Corporation (6)(7)(8)</w:t>
            </w:r>
          </w:p>
        </w:tc>
        <w:tc>
          <w:tcPr>
            <w:tcW w:w="1720" w:type="dxa"/>
            <w:vAlign w:val="bottom"/>
          </w:tcPr>
          <w:p>
            <w:pPr>
              <w:spacing w:after="0" w:line="127" w:lineRule="exact"/>
              <w:rPr>
                <w:sz w:val="20"/>
                <w:szCs w:val="20"/>
                <w:color w:val="auto"/>
              </w:rPr>
            </w:pPr>
            <w:r>
              <w:rPr>
                <w:rFonts w:ascii="Arial" w:cs="Arial" w:eastAsia="Arial" w:hAnsi="Arial"/>
                <w:sz w:val="14"/>
                <w:szCs w:val="14"/>
                <w:color w:val="auto"/>
              </w:rPr>
              <w:t>Biotechnology</w:t>
            </w:r>
          </w:p>
        </w:tc>
        <w:tc>
          <w:tcPr>
            <w:tcW w:w="3640" w:type="dxa"/>
            <w:vAlign w:val="bottom"/>
          </w:tcPr>
          <w:p>
            <w:pPr>
              <w:ind w:left="120"/>
              <w:spacing w:after="0" w:line="127" w:lineRule="exact"/>
              <w:rPr>
                <w:sz w:val="20"/>
                <w:szCs w:val="20"/>
                <w:color w:val="auto"/>
              </w:rPr>
            </w:pPr>
            <w:r>
              <w:rPr>
                <w:rFonts w:ascii="Arial" w:cs="Arial" w:eastAsia="Arial" w:hAnsi="Arial"/>
                <w:sz w:val="14"/>
                <w:szCs w:val="14"/>
                <w:color w:val="auto"/>
              </w:rPr>
              <w:t>Term Loan (9.98% cash (Libor + 7.63%; Floor</w:t>
            </w:r>
          </w:p>
        </w:tc>
        <w:tc>
          <w:tcPr>
            <w:tcW w:w="760" w:type="dxa"/>
            <w:vAlign w:val="bottom"/>
          </w:tcPr>
          <w:p>
            <w:pPr>
              <w:jc w:val="right"/>
              <w:spacing w:after="0" w:line="127"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line="127" w:lineRule="exact"/>
              <w:rPr>
                <w:sz w:val="20"/>
                <w:szCs w:val="20"/>
                <w:color w:val="auto"/>
              </w:rPr>
            </w:pPr>
            <w:r>
              <w:rPr>
                <w:rFonts w:ascii="Arial" w:cs="Arial" w:eastAsia="Arial" w:hAnsi="Arial"/>
                <w:sz w:val="14"/>
                <w:szCs w:val="14"/>
                <w:color w:val="auto"/>
              </w:rPr>
              <w:t>2,500</w:t>
            </w:r>
          </w:p>
        </w:tc>
        <w:tc>
          <w:tcPr>
            <w:tcW w:w="240" w:type="dxa"/>
            <w:vAlign w:val="bottom"/>
            <w:gridSpan w:val="2"/>
          </w:tcPr>
          <w:p>
            <w:pPr>
              <w:ind w:left="100"/>
              <w:spacing w:after="0" w:line="12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2,449</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2,449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40" w:type="dxa"/>
            <w:vAlign w:val="bottom"/>
          </w:tcPr>
          <w:p>
            <w:pPr>
              <w:ind w:left="120"/>
              <w:spacing w:after="0" w:line="146" w:lineRule="exact"/>
              <w:rPr>
                <w:sz w:val="20"/>
                <w:szCs w:val="20"/>
                <w:color w:val="auto"/>
              </w:rPr>
            </w:pPr>
            <w:r>
              <w:rPr>
                <w:rFonts w:ascii="Arial" w:cs="Arial" w:eastAsia="Arial" w:hAnsi="Arial"/>
                <w:sz w:val="14"/>
                <w:szCs w:val="14"/>
                <w:color w:val="auto"/>
              </w:rPr>
              <w:t>9.63%), 4.00% ETP, Due 7/1/22)</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40" w:type="dxa"/>
            <w:vAlign w:val="bottom"/>
          </w:tcPr>
          <w:p>
            <w:pPr>
              <w:ind w:left="120"/>
              <w:spacing w:after="0" w:line="159" w:lineRule="exact"/>
              <w:rPr>
                <w:sz w:val="20"/>
                <w:szCs w:val="20"/>
                <w:color w:val="auto"/>
              </w:rPr>
            </w:pPr>
            <w:r>
              <w:rPr>
                <w:rFonts w:ascii="Arial" w:cs="Arial" w:eastAsia="Arial" w:hAnsi="Arial"/>
                <w:sz w:val="14"/>
                <w:szCs w:val="14"/>
                <w:color w:val="auto"/>
              </w:rPr>
              <w:t>Term Loan (9.98% cash (Libor + 7.63%; Floor</w:t>
            </w:r>
          </w:p>
        </w:tc>
        <w:tc>
          <w:tcPr>
            <w:tcW w:w="760" w:type="dxa"/>
            <w:vAlign w:val="bottom"/>
          </w:tcPr>
          <w:p>
            <w:pPr>
              <w:spacing w:after="0"/>
              <w:rPr>
                <w:sz w:val="14"/>
                <w:szCs w:val="14"/>
                <w:color w:val="auto"/>
              </w:rPr>
            </w:pPr>
          </w:p>
        </w:tc>
        <w:tc>
          <w:tcPr>
            <w:tcW w:w="8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2,500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2,449</w:t>
            </w:r>
          </w:p>
        </w:tc>
        <w:tc>
          <w:tcPr>
            <w:tcW w:w="140" w:type="dxa"/>
            <w:vAlign w:val="bottom"/>
          </w:tcPr>
          <w:p>
            <w:pPr>
              <w:spacing w:after="0"/>
              <w:rPr>
                <w:sz w:val="14"/>
                <w:szCs w:val="14"/>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2,449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40" w:type="dxa"/>
            <w:vAlign w:val="bottom"/>
          </w:tcPr>
          <w:p>
            <w:pPr>
              <w:ind w:left="120"/>
              <w:spacing w:after="0" w:line="146" w:lineRule="exact"/>
              <w:rPr>
                <w:sz w:val="20"/>
                <w:szCs w:val="20"/>
                <w:color w:val="auto"/>
              </w:rPr>
            </w:pPr>
            <w:r>
              <w:rPr>
                <w:rFonts w:ascii="Arial" w:cs="Arial" w:eastAsia="Arial" w:hAnsi="Arial"/>
                <w:sz w:val="14"/>
                <w:szCs w:val="14"/>
                <w:color w:val="auto"/>
              </w:rPr>
              <w:t>9.63%), 4.00% ETP, Due 7/1/22)</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9"/>
              </w:rPr>
              <w:t>Total Debt Investments — Life science</w:t>
            </w:r>
          </w:p>
        </w:tc>
        <w:tc>
          <w:tcPr>
            <w:tcW w:w="172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4,898</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4,898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Debt Investments — Technology</w:t>
            </w:r>
          </w:p>
        </w:tc>
        <w:tc>
          <w:tcPr>
            <w:tcW w:w="17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8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Intelepeer Holdings, Inc. (6)(7)</w:t>
            </w: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Communications</w:t>
            </w:r>
          </w:p>
        </w:tc>
        <w:tc>
          <w:tcPr>
            <w:tcW w:w="3640" w:type="dxa"/>
            <w:vAlign w:val="bottom"/>
            <w:shd w:val="clear" w:color="auto" w:fill="CCEEFF"/>
          </w:tcPr>
          <w:p>
            <w:pPr>
              <w:ind w:left="120"/>
              <w:spacing w:after="0" w:line="127" w:lineRule="exact"/>
              <w:rPr>
                <w:sz w:val="20"/>
                <w:szCs w:val="20"/>
                <w:color w:val="auto"/>
              </w:rPr>
            </w:pPr>
            <w:r>
              <w:rPr>
                <w:rFonts w:ascii="Arial" w:cs="Arial" w:eastAsia="Arial" w:hAnsi="Arial"/>
                <w:sz w:val="14"/>
                <w:szCs w:val="14"/>
                <w:color w:val="auto"/>
              </w:rPr>
              <w:t>Term Loan (12.30% cash (Libor + 9.95%; Floor</w:t>
            </w: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49"/>
              <w:spacing w:after="0" w:line="127" w:lineRule="exact"/>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3,948</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3,948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364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11.25%), 2.50% ETP, Due 7/1/21)</w:t>
            </w: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364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Term Loan (12.30% cash (Libor + 9.95%; Floor</w:t>
            </w: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9"/>
              <w:spacing w:after="0" w:line="146" w:lineRule="exact"/>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3,948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3,948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11.25%), 2.50% ETP, Due 7/1/21)</w:t>
            </w: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80" w:type="dxa"/>
            <w:vAlign w:val="bottom"/>
          </w:tcPr>
          <w:p>
            <w:pPr>
              <w:spacing w:after="0" w:line="127" w:lineRule="exact"/>
              <w:rPr>
                <w:sz w:val="20"/>
                <w:szCs w:val="20"/>
                <w:color w:val="auto"/>
              </w:rPr>
            </w:pPr>
            <w:r>
              <w:rPr>
                <w:rFonts w:ascii="Arial" w:cs="Arial" w:eastAsia="Arial" w:hAnsi="Arial"/>
                <w:sz w:val="14"/>
                <w:szCs w:val="14"/>
                <w:color w:val="auto"/>
              </w:rPr>
              <w:t>New Signature US, Inc. (6)(7)(9)</w:t>
            </w:r>
          </w:p>
        </w:tc>
        <w:tc>
          <w:tcPr>
            <w:tcW w:w="120" w:type="dxa"/>
            <w:vAlign w:val="bottom"/>
          </w:tcPr>
          <w:p>
            <w:pPr>
              <w:spacing w:after="0"/>
              <w:rPr>
                <w:sz w:val="11"/>
                <w:szCs w:val="11"/>
                <w:color w:val="auto"/>
              </w:rPr>
            </w:pPr>
          </w:p>
        </w:tc>
        <w:tc>
          <w:tcPr>
            <w:tcW w:w="1720" w:type="dxa"/>
            <w:vAlign w:val="bottom"/>
          </w:tcPr>
          <w:p>
            <w:pPr>
              <w:spacing w:after="0" w:line="127" w:lineRule="exact"/>
              <w:rPr>
                <w:sz w:val="20"/>
                <w:szCs w:val="20"/>
                <w:color w:val="auto"/>
              </w:rPr>
            </w:pPr>
            <w:r>
              <w:rPr>
                <w:rFonts w:ascii="Arial" w:cs="Arial" w:eastAsia="Arial" w:hAnsi="Arial"/>
                <w:sz w:val="14"/>
                <w:szCs w:val="14"/>
                <w:color w:val="auto"/>
              </w:rPr>
              <w:t>Software</w:t>
            </w:r>
          </w:p>
        </w:tc>
        <w:tc>
          <w:tcPr>
            <w:tcW w:w="3640" w:type="dxa"/>
            <w:vAlign w:val="bottom"/>
          </w:tcPr>
          <w:p>
            <w:pPr>
              <w:ind w:left="120"/>
              <w:spacing w:after="0" w:line="127" w:lineRule="exact"/>
              <w:rPr>
                <w:sz w:val="20"/>
                <w:szCs w:val="20"/>
                <w:color w:val="auto"/>
              </w:rPr>
            </w:pPr>
            <w:r>
              <w:rPr>
                <w:rFonts w:ascii="Arial" w:cs="Arial" w:eastAsia="Arial" w:hAnsi="Arial"/>
                <w:sz w:val="14"/>
                <w:szCs w:val="14"/>
                <w:color w:val="auto"/>
              </w:rPr>
              <w:t>Term Loan (10.85% cash (Libor + 8.50%; Floor</w:t>
            </w:r>
          </w:p>
        </w:tc>
        <w:tc>
          <w:tcPr>
            <w:tcW w:w="760" w:type="dxa"/>
            <w:vAlign w:val="bottom"/>
          </w:tcPr>
          <w:p>
            <w:pPr>
              <w:spacing w:after="0"/>
              <w:rPr>
                <w:sz w:val="11"/>
                <w:szCs w:val="11"/>
                <w:color w:val="auto"/>
              </w:rPr>
            </w:pPr>
          </w:p>
        </w:tc>
        <w:tc>
          <w:tcPr>
            <w:tcW w:w="820" w:type="dxa"/>
            <w:vAlign w:val="bottom"/>
          </w:tcPr>
          <w:p>
            <w:pPr>
              <w:jc w:val="right"/>
              <w:ind w:right="49"/>
              <w:spacing w:after="0" w:line="127" w:lineRule="exact"/>
              <w:rPr>
                <w:sz w:val="20"/>
                <w:szCs w:val="20"/>
                <w:color w:val="auto"/>
              </w:rPr>
            </w:pPr>
            <w:r>
              <w:rPr>
                <w:rFonts w:ascii="Arial" w:cs="Arial" w:eastAsia="Arial" w:hAnsi="Arial"/>
                <w:sz w:val="14"/>
                <w:szCs w:val="14"/>
                <w:color w:val="auto"/>
              </w:rPr>
              <w:t>8,250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20"/>
              <w:spacing w:after="0" w:line="127" w:lineRule="exact"/>
              <w:rPr>
                <w:sz w:val="20"/>
                <w:szCs w:val="20"/>
                <w:color w:val="auto"/>
              </w:rPr>
            </w:pPr>
            <w:r>
              <w:rPr>
                <w:rFonts w:ascii="Arial" w:cs="Arial" w:eastAsia="Arial" w:hAnsi="Arial"/>
                <w:sz w:val="14"/>
                <w:szCs w:val="14"/>
                <w:color w:val="auto"/>
              </w:rPr>
              <w:t>8,098</w:t>
            </w:r>
          </w:p>
        </w:tc>
        <w:tc>
          <w:tcPr>
            <w:tcW w:w="140" w:type="dxa"/>
            <w:vAlign w:val="bottom"/>
          </w:tcPr>
          <w:p>
            <w:pPr>
              <w:spacing w:after="0"/>
              <w:rPr>
                <w:sz w:val="11"/>
                <w:szCs w:val="11"/>
                <w:color w:val="auto"/>
              </w:rPr>
            </w:pPr>
          </w:p>
        </w:tc>
        <w:tc>
          <w:tcPr>
            <w:tcW w:w="74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8,098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36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10.50%), 3.50% ETP, Due 7/1/22)</w:t>
            </w:r>
          </w:p>
        </w:tc>
        <w:tc>
          <w:tcPr>
            <w:tcW w:w="76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w w:val="99"/>
              </w:rPr>
              <w:t>Total Debt Investments — Technology</w:t>
            </w:r>
          </w:p>
        </w:tc>
        <w:tc>
          <w:tcPr>
            <w:tcW w:w="172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15,994</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15,994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12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Debt Investments — Healthcare information and services</w:t>
            </w:r>
          </w:p>
        </w:tc>
        <w:tc>
          <w:tcPr>
            <w:tcW w:w="3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8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HealthEdge Software, Inc. (6)(7)</w:t>
            </w: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Software</w:t>
            </w:r>
          </w:p>
        </w:tc>
        <w:tc>
          <w:tcPr>
            <w:tcW w:w="3640" w:type="dxa"/>
            <w:vAlign w:val="bottom"/>
            <w:shd w:val="clear" w:color="auto" w:fill="CCEEFF"/>
          </w:tcPr>
          <w:p>
            <w:pPr>
              <w:ind w:left="120"/>
              <w:spacing w:after="0" w:line="127" w:lineRule="exact"/>
              <w:rPr>
                <w:sz w:val="20"/>
                <w:szCs w:val="20"/>
                <w:color w:val="auto"/>
              </w:rPr>
            </w:pPr>
            <w:r>
              <w:rPr>
                <w:rFonts w:ascii="Arial" w:cs="Arial" w:eastAsia="Arial" w:hAnsi="Arial"/>
                <w:sz w:val="14"/>
                <w:szCs w:val="14"/>
                <w:color w:val="auto"/>
              </w:rPr>
              <w:t>Term Loan (10.60% cash (Libor + 8.25%; Floor</w:t>
            </w: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49"/>
              <w:spacing w:after="0" w:line="127" w:lineRule="exact"/>
              <w:rPr>
                <w:sz w:val="20"/>
                <w:szCs w:val="20"/>
                <w:color w:val="auto"/>
              </w:rPr>
            </w:pPr>
            <w:r>
              <w:rPr>
                <w:rFonts w:ascii="Arial" w:cs="Arial" w:eastAsia="Arial" w:hAnsi="Arial"/>
                <w:sz w:val="14"/>
                <w:szCs w:val="14"/>
                <w:color w:val="auto"/>
              </w:rPr>
              <w:t>3,750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27" w:lineRule="exact"/>
              <w:rPr>
                <w:sz w:val="20"/>
                <w:szCs w:val="20"/>
                <w:color w:val="auto"/>
              </w:rPr>
            </w:pPr>
            <w:r>
              <w:rPr>
                <w:rFonts w:ascii="Arial" w:cs="Arial" w:eastAsia="Arial" w:hAnsi="Arial"/>
                <w:sz w:val="14"/>
                <w:szCs w:val="14"/>
                <w:color w:val="auto"/>
              </w:rPr>
              <w:t>3,699</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3,699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9.25%), 3.00% ETP, Due 10/1/23)</w:t>
            </w:r>
          </w:p>
        </w:tc>
        <w:tc>
          <w:tcPr>
            <w:tcW w:w="7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80" w:type="dxa"/>
            <w:vAlign w:val="bottom"/>
            <w:tcBorders>
              <w:bottom w:val="single" w:sz="8" w:color="CCEEFF"/>
            </w:tcBorders>
          </w:tcPr>
          <w:p>
            <w:pPr>
              <w:spacing w:after="0" w:line="139" w:lineRule="exact"/>
              <w:rPr>
                <w:sz w:val="20"/>
                <w:szCs w:val="20"/>
                <w:color w:val="auto"/>
              </w:rPr>
            </w:pPr>
            <w:r>
              <w:rPr>
                <w:rFonts w:ascii="Arial" w:cs="Arial" w:eastAsia="Arial" w:hAnsi="Arial"/>
                <w:sz w:val="14"/>
                <w:szCs w:val="14"/>
                <w:color w:val="auto"/>
                <w:w w:val="96"/>
              </w:rPr>
              <w:t>Total Debt Investments — Healthcare</w:t>
            </w:r>
          </w:p>
        </w:tc>
        <w:tc>
          <w:tcPr>
            <w:tcW w:w="1840" w:type="dxa"/>
            <w:vAlign w:val="bottom"/>
            <w:tcBorders>
              <w:bottom w:val="single" w:sz="8" w:color="CCEEFF"/>
            </w:tcBorders>
            <w:gridSpan w:val="2"/>
          </w:tcPr>
          <w:p>
            <w:pPr>
              <w:spacing w:after="0" w:line="139" w:lineRule="exact"/>
              <w:rPr>
                <w:sz w:val="20"/>
                <w:szCs w:val="20"/>
                <w:color w:val="auto"/>
              </w:rPr>
            </w:pPr>
            <w:r>
              <w:rPr>
                <w:rFonts w:ascii="Arial" w:cs="Arial" w:eastAsia="Arial" w:hAnsi="Arial"/>
                <w:sz w:val="14"/>
                <w:szCs w:val="14"/>
                <w:color w:val="auto"/>
              </w:rPr>
              <w:t>information and services</w:t>
            </w:r>
          </w:p>
        </w:tc>
        <w:tc>
          <w:tcPr>
            <w:tcW w:w="364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3,699</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3,699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Total Debt Investments</w:t>
            </w:r>
          </w:p>
        </w:tc>
        <w:tc>
          <w:tcPr>
            <w:tcW w:w="172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24,591</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24,591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b w:val="1"/>
                <w:bCs w:val="1"/>
                <w:color w:val="auto"/>
                <w:w w:val="98"/>
              </w:rPr>
              <w:t>Warrant Investments — Life science</w:t>
            </w:r>
          </w:p>
        </w:tc>
        <w:tc>
          <w:tcPr>
            <w:tcW w:w="172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tcBorders>
              <w:bottom w:val="single" w:sz="8" w:color="CCEEFF"/>
            </w:tcBorders>
            <w:gridSpan w:val="2"/>
          </w:tcPr>
          <w:p>
            <w:pPr>
              <w:spacing w:after="0" w:line="159" w:lineRule="exact"/>
              <w:rPr>
                <w:sz w:val="20"/>
                <w:szCs w:val="20"/>
                <w:color w:val="auto"/>
              </w:rPr>
            </w:pPr>
            <w:r>
              <w:rPr>
                <w:rFonts w:ascii="Arial" w:cs="Arial" w:eastAsia="Arial" w:hAnsi="Arial"/>
                <w:sz w:val="14"/>
                <w:szCs w:val="14"/>
                <w:color w:val="auto"/>
              </w:rPr>
              <w:t>Celsion Corporation (6)(7)(8)</w:t>
            </w:r>
          </w:p>
        </w:tc>
        <w:tc>
          <w:tcPr>
            <w:tcW w:w="172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Biotechnology</w:t>
            </w:r>
          </w:p>
        </w:tc>
        <w:tc>
          <w:tcPr>
            <w:tcW w:w="3640" w:type="dxa"/>
            <w:vAlign w:val="bottom"/>
            <w:tcBorders>
              <w:bottom w:val="single" w:sz="8" w:color="CCEEFF"/>
            </w:tcBorders>
          </w:tcPr>
          <w:p>
            <w:pPr>
              <w:ind w:left="120"/>
              <w:spacing w:after="0" w:line="159" w:lineRule="exact"/>
              <w:rPr>
                <w:sz w:val="20"/>
                <w:szCs w:val="20"/>
                <w:color w:val="auto"/>
              </w:rPr>
            </w:pPr>
            <w:r>
              <w:rPr>
                <w:rFonts w:ascii="Arial" w:cs="Arial" w:eastAsia="Arial" w:hAnsi="Arial"/>
                <w:sz w:val="14"/>
                <w:szCs w:val="14"/>
                <w:color w:val="auto"/>
              </w:rPr>
              <w:t>95,057 Common Stock Warrants</w:t>
            </w:r>
          </w:p>
        </w:tc>
        <w:tc>
          <w:tcPr>
            <w:tcW w:w="76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58</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w w:val="91"/>
              </w:rPr>
              <w:t>Total Warrant Investments — Life science</w:t>
            </w:r>
          </w:p>
        </w:tc>
        <w:tc>
          <w:tcPr>
            <w:tcW w:w="172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58</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99"/>
              </w:rPr>
              <w:t>Warrant Investments — Technology</w:t>
            </w:r>
          </w:p>
        </w:tc>
        <w:tc>
          <w:tcPr>
            <w:tcW w:w="17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Intelepeer Holdings, Inc. (6)(7)</w:t>
            </w:r>
          </w:p>
        </w:tc>
        <w:tc>
          <w:tcPr>
            <w:tcW w:w="17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Communications</w:t>
            </w:r>
          </w:p>
        </w:tc>
        <w:tc>
          <w:tcPr>
            <w:tcW w:w="364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1,280,000 Preferred Stock Warrants</w:t>
            </w: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49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tcBorders>
              <w:bottom w:val="single" w:sz="8" w:color="CCEEFF"/>
            </w:tcBorders>
            <w:gridSpan w:val="2"/>
          </w:tcPr>
          <w:p>
            <w:pPr>
              <w:spacing w:after="0" w:line="159" w:lineRule="exact"/>
              <w:rPr>
                <w:sz w:val="20"/>
                <w:szCs w:val="20"/>
                <w:color w:val="auto"/>
              </w:rPr>
            </w:pPr>
            <w:r>
              <w:rPr>
                <w:rFonts w:ascii="Arial" w:cs="Arial" w:eastAsia="Arial" w:hAnsi="Arial"/>
                <w:sz w:val="14"/>
                <w:szCs w:val="14"/>
                <w:color w:val="auto"/>
              </w:rPr>
              <w:t>BSI Platform Holdings, LLC (6)(7)(9)</w:t>
            </w:r>
          </w:p>
        </w:tc>
        <w:tc>
          <w:tcPr>
            <w:tcW w:w="1720" w:type="dxa"/>
            <w:vAlign w:val="bottom"/>
            <w:tcBorders>
              <w:bottom w:val="single" w:sz="8" w:color="CCEEFF"/>
            </w:tcBorders>
          </w:tcPr>
          <w:p>
            <w:pPr>
              <w:spacing w:after="0" w:line="159" w:lineRule="exact"/>
              <w:rPr>
                <w:sz w:val="20"/>
                <w:szCs w:val="20"/>
                <w:color w:val="auto"/>
              </w:rPr>
            </w:pPr>
            <w:r>
              <w:rPr>
                <w:rFonts w:ascii="Arial" w:cs="Arial" w:eastAsia="Arial" w:hAnsi="Arial"/>
                <w:sz w:val="14"/>
                <w:szCs w:val="14"/>
                <w:color w:val="auto"/>
              </w:rPr>
              <w:t>Software</w:t>
            </w:r>
          </w:p>
        </w:tc>
        <w:tc>
          <w:tcPr>
            <w:tcW w:w="3640" w:type="dxa"/>
            <w:vAlign w:val="bottom"/>
            <w:tcBorders>
              <w:bottom w:val="single" w:sz="8" w:color="CCEEFF"/>
            </w:tcBorders>
          </w:tcPr>
          <w:p>
            <w:pPr>
              <w:ind w:left="120"/>
              <w:spacing w:after="0" w:line="159" w:lineRule="exact"/>
              <w:rPr>
                <w:sz w:val="20"/>
                <w:szCs w:val="20"/>
                <w:color w:val="auto"/>
              </w:rPr>
            </w:pPr>
            <w:r>
              <w:rPr>
                <w:rFonts w:ascii="Arial" w:cs="Arial" w:eastAsia="Arial" w:hAnsi="Arial"/>
                <w:sz w:val="14"/>
                <w:szCs w:val="14"/>
                <w:color w:val="auto"/>
              </w:rPr>
              <w:t>412,500 Preferred Stock Warrants</w:t>
            </w:r>
          </w:p>
        </w:tc>
        <w:tc>
          <w:tcPr>
            <w:tcW w:w="76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57</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w w:val="92"/>
              </w:rPr>
              <w:t>Total Warrant Investments — Technology</w:t>
            </w:r>
          </w:p>
        </w:tc>
        <w:tc>
          <w:tcPr>
            <w:tcW w:w="172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106</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12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Warrant Investments — Healthcare information and services</w:t>
            </w:r>
          </w:p>
        </w:tc>
        <w:tc>
          <w:tcPr>
            <w:tcW w:w="3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HealthEdge Software, Inc. (6)(7)</w:t>
            </w:r>
          </w:p>
        </w:tc>
        <w:tc>
          <w:tcPr>
            <w:tcW w:w="1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Software</w:t>
            </w:r>
          </w:p>
        </w:tc>
        <w:tc>
          <w:tcPr>
            <w:tcW w:w="36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47,418 Preferred Stock Warrants</w:t>
            </w: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120" w:type="dxa"/>
            <w:vAlign w:val="bottom"/>
            <w:tcBorders>
              <w:bottom w:val="single" w:sz="8" w:color="CCEEFF"/>
            </w:tcBorders>
            <w:gridSpan w:val="3"/>
          </w:tcPr>
          <w:p>
            <w:pPr>
              <w:spacing w:after="0" w:line="139" w:lineRule="exact"/>
              <w:rPr>
                <w:sz w:val="20"/>
                <w:szCs w:val="20"/>
                <w:color w:val="auto"/>
              </w:rPr>
            </w:pPr>
            <w:r>
              <w:rPr>
                <w:rFonts w:ascii="Arial" w:cs="Arial" w:eastAsia="Arial" w:hAnsi="Arial"/>
                <w:sz w:val="14"/>
                <w:szCs w:val="14"/>
                <w:color w:val="auto"/>
              </w:rPr>
              <w:t>Total Warrant Investments — Healthcare information and services</w:t>
            </w:r>
          </w:p>
        </w:tc>
        <w:tc>
          <w:tcPr>
            <w:tcW w:w="364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16</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Total Warrant Investments</w:t>
            </w:r>
          </w:p>
        </w:tc>
        <w:tc>
          <w:tcPr>
            <w:tcW w:w="172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180</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Portfolio Investment Assets</w:t>
            </w:r>
          </w:p>
        </w:tc>
        <w:tc>
          <w:tcPr>
            <w:tcW w:w="1720" w:type="dxa"/>
            <w:vAlign w:val="bottom"/>
            <w:shd w:val="clear" w:color="auto" w:fill="CCEEFF"/>
          </w:tcPr>
          <w:p>
            <w:pPr>
              <w:spacing w:after="0"/>
              <w:rPr>
                <w:sz w:val="14"/>
                <w:szCs w:val="14"/>
                <w:color w:val="auto"/>
              </w:rPr>
            </w:pPr>
          </w:p>
        </w:tc>
        <w:tc>
          <w:tcPr>
            <w:tcW w:w="36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24,771</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gridSpan w:val="3"/>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restart"/>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120" w:type="dxa"/>
            <w:vAlign w:val="bottom"/>
            <w:gridSpan w:val="3"/>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Short Term Investments — Money Market Funds</w:t>
            </w:r>
          </w:p>
        </w:tc>
        <w:tc>
          <w:tcPr>
            <w:tcW w:w="36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gridSpan w:val="3"/>
          </w:tcPr>
          <w:p>
            <w:pPr>
              <w:spacing w:after="0" w:line="159" w:lineRule="exact"/>
              <w:rPr>
                <w:sz w:val="20"/>
                <w:szCs w:val="20"/>
                <w:color w:val="auto"/>
              </w:rPr>
            </w:pPr>
            <w:r>
              <w:rPr>
                <w:rFonts w:ascii="Arial" w:cs="Arial" w:eastAsia="Arial" w:hAnsi="Arial"/>
                <w:sz w:val="14"/>
                <w:szCs w:val="14"/>
                <w:color w:val="auto"/>
              </w:rPr>
              <w:t>US Bank Money Market Deposit Account (6)</w:t>
            </w:r>
          </w:p>
        </w:tc>
        <w:tc>
          <w:tcPr>
            <w:tcW w:w="3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74</w:t>
            </w:r>
          </w:p>
        </w:tc>
        <w:tc>
          <w:tcPr>
            <w:tcW w:w="22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120" w:type="dxa"/>
            <w:vAlign w:val="bottom"/>
            <w:tcBorders>
              <w:top w:val="single" w:sz="8" w:color="CCEEFF"/>
              <w:bottom w:val="single" w:sz="8" w:color="CCEEFF"/>
            </w:tcBorders>
            <w:gridSpan w:val="3"/>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Total Short Term Investments — Money Market Funds</w:t>
            </w:r>
          </w:p>
        </w:tc>
        <w:tc>
          <w:tcPr>
            <w:tcW w:w="364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74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74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8103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spacing w:after="0" w:line="206" w:lineRule="exact"/>
        <w:rPr>
          <w:sz w:val="20"/>
          <w:szCs w:val="20"/>
          <w:color w:val="auto"/>
        </w:rPr>
      </w:pPr>
    </w:p>
    <w:p>
      <w:pPr>
        <w:ind w:left="640" w:hanging="634"/>
        <w:spacing w:after="0" w:line="265"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investments of HSLFI are in entities which are organized under the laws of the United States and have a principal place of business in the United States.</w:t>
      </w:r>
    </w:p>
    <w:p>
      <w:pPr>
        <w:spacing w:after="0" w:line="179" w:lineRule="exact"/>
        <w:rPr>
          <w:rFonts w:ascii="Arial" w:cs="Arial" w:eastAsia="Arial" w:hAnsi="Arial"/>
          <w:sz w:val="18"/>
          <w:szCs w:val="18"/>
          <w:color w:val="auto"/>
        </w:rPr>
      </w:pPr>
    </w:p>
    <w:p>
      <w:pPr>
        <w:jc w:val="both"/>
        <w:ind w:left="640" w:hanging="634"/>
        <w:spacing w:after="0" w:line="250"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2018 is provided.</w:t>
      </w:r>
    </w:p>
    <w:p>
      <w:pPr>
        <w:spacing w:after="0" w:line="194"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88" w:lineRule="exact"/>
        <w:rPr>
          <w:rFonts w:ascii="Arial" w:cs="Arial" w:eastAsia="Arial" w:hAnsi="Arial"/>
          <w:sz w:val="18"/>
          <w:szCs w:val="18"/>
          <w:color w:val="auto"/>
        </w:rPr>
      </w:pPr>
    </w:p>
    <w:p>
      <w:pPr>
        <w:ind w:left="640" w:hanging="634"/>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Warrants are non-income producing.</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Has been pledged as collateral under the NYL Facility.</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17" w:lineRule="exact"/>
        <w:rPr>
          <w:rFonts w:ascii="Arial" w:cs="Arial" w:eastAsia="Arial" w:hAnsi="Arial"/>
          <w:sz w:val="18"/>
          <w:szCs w:val="18"/>
          <w:color w:val="auto"/>
        </w:rPr>
      </w:pPr>
    </w:p>
    <w:p>
      <w:pPr>
        <w:ind w:left="640" w:hanging="634"/>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08" w:name="page109"/>
    <w:bookmarkEnd w:id="108"/>
    <w:p>
      <w:pPr>
        <w:jc w:val="center"/>
        <w:ind w:left="3240"/>
        <w:spacing w:after="0"/>
        <w:rPr>
          <w:sz w:val="20"/>
          <w:szCs w:val="20"/>
          <w:color w:val="auto"/>
        </w:rPr>
      </w:pPr>
      <w:r>
        <w:rPr>
          <w:rFonts w:ascii="Arial" w:cs="Arial" w:eastAsia="Arial" w:hAnsi="Arial"/>
          <w:sz w:val="17"/>
          <w:szCs w:val="17"/>
          <w:b w:val="1"/>
          <w:bCs w:val="1"/>
          <w:color w:val="auto"/>
        </w:rPr>
        <w:t>Horizon Technology Finance Corporation and Subsidiaries</w:t>
      </w:r>
    </w:p>
    <w:p>
      <w:pPr>
        <w:spacing w:after="0" w:line="22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provides HSLFI’s unfunded commitments by portfolio company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New Signature US,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249160" cy="142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9160" cy="1428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December 31, 2018</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52"/>
              <w:spacing w:after="0" w:line="189" w:lineRule="exact"/>
              <w:rPr>
                <w:sz w:val="20"/>
                <w:szCs w:val="20"/>
                <w:color w:val="auto"/>
              </w:rPr>
            </w:pPr>
            <w:r>
              <w:rPr>
                <w:rFonts w:ascii="Arial" w:cs="Arial" w:eastAsia="Arial" w:hAnsi="Arial"/>
                <w:sz w:val="18"/>
                <w:szCs w:val="18"/>
                <w:b w:val="1"/>
                <w:bCs w:val="1"/>
                <w:color w:val="auto"/>
                <w:w w:val="90"/>
              </w:rPr>
              <w:t>Fair Value of</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Unfunded</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Principal</w:t>
            </w:r>
          </w:p>
        </w:tc>
        <w:tc>
          <w:tcPr>
            <w:tcW w:w="100" w:type="dxa"/>
            <w:vAlign w:val="bottom"/>
          </w:tcPr>
          <w:p>
            <w:pPr>
              <w:spacing w:after="0"/>
              <w:rPr>
                <w:sz w:val="18"/>
                <w:szCs w:val="18"/>
                <w:color w:val="auto"/>
              </w:rPr>
            </w:pPr>
          </w:p>
        </w:tc>
        <w:tc>
          <w:tcPr>
            <w:tcW w:w="116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Commitment</w:t>
            </w:r>
          </w:p>
        </w:tc>
        <w:tc>
          <w:tcPr>
            <w:tcW w:w="0" w:type="dxa"/>
            <w:vAlign w:val="bottom"/>
          </w:tcPr>
          <w:p>
            <w:pPr>
              <w:spacing w:after="0"/>
              <w:rPr>
                <w:sz w:val="1"/>
                <w:szCs w:val="1"/>
                <w:color w:val="auto"/>
              </w:rPr>
            </w:pPr>
          </w:p>
        </w:tc>
      </w:tr>
      <w:tr>
        <w:trPr>
          <w:trHeight w:val="230"/>
        </w:trPr>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07"/>
        </w:trPr>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2540" w:type="dxa"/>
            <w:vAlign w:val="bottom"/>
            <w:gridSpan w:val="4"/>
          </w:tcPr>
          <w:p>
            <w:pPr>
              <w:jc w:val="right"/>
              <w:ind w:right="732"/>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4"/>
        </w:trPr>
        <w:tc>
          <w:tcPr>
            <w:tcW w:w="20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9"/>
        </w:trPr>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80" w:space="400"/>
            <w:col w:w="2840"/>
          </w:cols>
          <w:pgMar w:left="240" w:top="890" w:right="239" w:bottom="1440" w:gutter="0" w:footer="0" w:header="0"/>
        </w:sectPr>
      </w:pPr>
    </w:p>
    <w:p>
      <w:pPr>
        <w:ind w:firstLine="318"/>
        <w:spacing w:after="0" w:line="265" w:lineRule="auto"/>
        <w:rPr>
          <w:sz w:val="20"/>
          <w:szCs w:val="20"/>
          <w:color w:val="auto"/>
        </w:rPr>
      </w:pPr>
      <w:r>
        <w:rPr>
          <w:rFonts w:ascii="Arial" w:cs="Arial" w:eastAsia="Arial" w:hAnsi="Arial"/>
          <w:sz w:val="18"/>
          <w:szCs w:val="18"/>
          <w:color w:val="auto"/>
        </w:rPr>
        <w:t>The following tables show certain summarized financial information for HSLFI as of December 31, 2018 and for the period June 1, 2018 through December 31,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Statement of Assets and Liabilities Information</w:t>
            </w:r>
          </w:p>
        </w:tc>
        <w:tc>
          <w:tcPr>
            <w:tcW w:w="4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investments at fair value (cost of $24,771)</w:t>
            </w: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Investments in money market funds</w:t>
            </w: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4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49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490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tcBorders>
              <w:bottom w:val="single" w:sz="8" w:color="CCEEFF"/>
            </w:tcBorders>
          </w:tcPr>
          <w:p>
            <w:pPr>
              <w:spacing w:after="0" w:line="206" w:lineRule="exact"/>
              <w:rPr>
                <w:sz w:val="20"/>
                <w:szCs w:val="20"/>
                <w:color w:val="auto"/>
              </w:rPr>
            </w:pPr>
            <w:r>
              <w:rPr>
                <w:rFonts w:ascii="Arial" w:cs="Arial" w:eastAsia="Arial" w:hAnsi="Arial"/>
                <w:sz w:val="18"/>
                <w:szCs w:val="18"/>
                <w:b w:val="1"/>
                <w:bCs w:val="1"/>
                <w:color w:val="auto"/>
              </w:rPr>
              <w:t>Total liabilities</w:t>
            </w:r>
          </w:p>
        </w:tc>
        <w:tc>
          <w:tcPr>
            <w:tcW w:w="49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4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Members’ equity</w:t>
            </w:r>
          </w:p>
        </w:tc>
        <w:tc>
          <w:tcPr>
            <w:tcW w:w="49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For the period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1, 2018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December 31, 2018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(In 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Statements of Operations Information</w:t>
            </w:r>
          </w:p>
        </w:tc>
        <w:tc>
          <w:tcPr>
            <w:tcW w:w="4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income on investments</w:t>
            </w: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investment income</w:t>
            </w: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625"/>
        </w:trPr>
        <w:tc>
          <w:tcPr>
            <w:tcW w:w="20" w:type="dxa"/>
            <w:vAlign w:val="bottom"/>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jc w:val="right"/>
              <w:ind w:right="3892"/>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0" w:right="239"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non-controlled affiliated company is generally a portfolio company in which the Company owns 5% or more of such portfolio company’s voting securities but not more than 25% of such portfolio company’s voting securities. Transactions related to investments in non-controlled affiliated companies for the year ended December 31, 2018 were as follows: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180" w:type="dxa"/>
            <w:vAlign w:val="bottom"/>
            <w:tcBorders>
              <w:top w:val="single" w:sz="8" w:color="auto"/>
            </w:tcBorders>
            <w:vMerge w:val="restart"/>
          </w:tcPr>
          <w:p>
            <w:pPr>
              <w:ind w:left="800"/>
              <w:spacing w:after="0"/>
              <w:rPr>
                <w:sz w:val="20"/>
                <w:szCs w:val="20"/>
                <w:color w:val="auto"/>
              </w:rPr>
            </w:pPr>
            <w:r>
              <w:rPr>
                <w:rFonts w:ascii="Arial" w:cs="Arial" w:eastAsia="Arial" w:hAnsi="Arial"/>
                <w:sz w:val="14"/>
                <w:szCs w:val="14"/>
                <w:b w:val="1"/>
                <w:bCs w:val="1"/>
                <w:color w:val="auto"/>
              </w:rPr>
              <w:t>Portfolio</w:t>
            </w: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ind w:left="60"/>
              <w:spacing w:after="0" w:line="117" w:lineRule="exact"/>
              <w:rPr>
                <w:sz w:val="20"/>
                <w:szCs w:val="20"/>
                <w:color w:val="auto"/>
              </w:rPr>
            </w:pPr>
            <w:r>
              <w:rPr>
                <w:rFonts w:ascii="Arial" w:cs="Arial" w:eastAsia="Arial" w:hAnsi="Arial"/>
                <w:sz w:val="13"/>
                <w:szCs w:val="13"/>
                <w:b w:val="1"/>
                <w:bCs w:val="1"/>
                <w:color w:val="auto"/>
              </w:rPr>
              <w:t>Fair value at</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17" w:lineRule="exact"/>
              <w:rPr>
                <w:sz w:val="20"/>
                <w:szCs w:val="20"/>
                <w:color w:val="auto"/>
              </w:rPr>
            </w:pPr>
            <w:r>
              <w:rPr>
                <w:rFonts w:ascii="Arial" w:cs="Arial" w:eastAsia="Arial" w:hAnsi="Arial"/>
                <w:sz w:val="13"/>
                <w:szCs w:val="13"/>
                <w:b w:val="1"/>
                <w:bCs w:val="1"/>
                <w:color w:val="auto"/>
              </w:rPr>
              <w:t>Transfers</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Discount</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169"/>
              <w:spacing w:after="0" w:line="117" w:lineRule="exact"/>
              <w:rPr>
                <w:sz w:val="20"/>
                <w:szCs w:val="20"/>
                <w:color w:val="auto"/>
              </w:rPr>
            </w:pPr>
            <w:r>
              <w:rPr>
                <w:rFonts w:ascii="Arial" w:cs="Arial" w:eastAsia="Arial" w:hAnsi="Arial"/>
                <w:sz w:val="13"/>
                <w:szCs w:val="13"/>
                <w:b w:val="1"/>
                <w:bCs w:val="1"/>
                <w:color w:val="auto"/>
                <w:w w:val="95"/>
              </w:rPr>
              <w:t>Net</w:t>
            </w: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ind w:left="20"/>
              <w:spacing w:after="0" w:line="117" w:lineRule="exact"/>
              <w:rPr>
                <w:sz w:val="20"/>
                <w:szCs w:val="20"/>
                <w:color w:val="auto"/>
              </w:rPr>
            </w:pPr>
            <w:r>
              <w:rPr>
                <w:rFonts w:ascii="Arial" w:cs="Arial" w:eastAsia="Arial" w:hAnsi="Arial"/>
                <w:sz w:val="13"/>
                <w:szCs w:val="13"/>
                <w:b w:val="1"/>
                <w:bCs w:val="1"/>
                <w:color w:val="auto"/>
              </w:rPr>
              <w:t>Fair value at</w:t>
            </w:r>
          </w:p>
        </w:tc>
        <w:tc>
          <w:tcPr>
            <w:tcW w:w="10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Net realized</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6"/>
        </w:trPr>
        <w:tc>
          <w:tcPr>
            <w:tcW w:w="2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ind w:left="20"/>
              <w:spacing w:after="0" w:line="14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4"/>
              </w:rPr>
              <w:t>Purchases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in/(out)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89"/>
              <w:spacing w:after="0" w:line="146" w:lineRule="exact"/>
              <w:rPr>
                <w:sz w:val="20"/>
                <w:szCs w:val="20"/>
                <w:color w:val="auto"/>
              </w:rPr>
            </w:pPr>
            <w:r>
              <w:rPr>
                <w:rFonts w:ascii="Arial" w:cs="Arial" w:eastAsia="Arial" w:hAnsi="Arial"/>
                <w:sz w:val="14"/>
                <w:szCs w:val="14"/>
                <w:b w:val="1"/>
                <w:bCs w:val="1"/>
                <w:color w:val="auto"/>
                <w:w w:val="92"/>
              </w:rPr>
              <w:t>unrealized</w:t>
            </w:r>
          </w:p>
        </w:tc>
        <w:tc>
          <w:tcPr>
            <w:tcW w:w="80" w:type="dxa"/>
            <w:vAlign w:val="bottom"/>
          </w:tcPr>
          <w:p>
            <w:pPr>
              <w:spacing w:after="0"/>
              <w:rPr>
                <w:sz w:val="12"/>
                <w:szCs w:val="12"/>
                <w:color w:val="auto"/>
              </w:rPr>
            </w:pPr>
          </w:p>
        </w:tc>
        <w:tc>
          <w:tcPr>
            <w:tcW w:w="1060" w:type="dxa"/>
            <w:vAlign w:val="bottom"/>
            <w:gridSpan w:val="3"/>
          </w:tcPr>
          <w:p>
            <w:pPr>
              <w:ind w:left="20"/>
              <w:spacing w:after="0" w:line="146"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80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49"/>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accretion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49"/>
              <w:spacing w:after="0"/>
              <w:rPr>
                <w:sz w:val="20"/>
                <w:szCs w:val="20"/>
                <w:color w:val="auto"/>
              </w:rPr>
            </w:pPr>
            <w:r>
              <w:rPr>
                <w:rFonts w:ascii="Arial" w:cs="Arial" w:eastAsia="Arial" w:hAnsi="Arial"/>
                <w:sz w:val="14"/>
                <w:szCs w:val="14"/>
                <w:b w:val="1"/>
                <w:bCs w:val="1"/>
                <w:color w:val="auto"/>
                <w:w w:val="88"/>
              </w:rPr>
              <w:t>gain/(loss)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09"/>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gain/(loss)</w:t>
            </w:r>
          </w:p>
        </w:tc>
        <w:tc>
          <w:tcPr>
            <w:tcW w:w="10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139"/>
        </w:trPr>
        <w:tc>
          <w:tcPr>
            <w:tcW w:w="2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ind w:left="60"/>
              <w:spacing w:after="0" w:line="13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Decisyon, Inc.</w:t>
            </w:r>
          </w:p>
        </w:tc>
        <w:tc>
          <w:tcPr>
            <w:tcW w:w="320" w:type="dxa"/>
            <w:vAlign w:val="bottom"/>
            <w:gridSpan w:val="2"/>
            <w:shd w:val="clear" w:color="auto" w:fill="CCEEFF"/>
          </w:tcPr>
          <w:p>
            <w:pPr>
              <w:ind w:left="120"/>
              <w:spacing w:after="0" w:line="146"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4"/>
                <w:szCs w:val="14"/>
                <w:color w:val="auto"/>
              </w:rPr>
              <w:t>1,449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9"/>
              <w:spacing w:after="0" w:line="146"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80"/>
              <w:spacing w:after="0" w:line="146"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80"/>
              <w:spacing w:after="0" w:line="146"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9"/>
              <w:spacing w:after="0" w:line="146" w:lineRule="exact"/>
              <w:rPr>
                <w:sz w:val="20"/>
                <w:szCs w:val="20"/>
                <w:color w:val="auto"/>
              </w:rPr>
            </w:pPr>
            <w:r>
              <w:rPr>
                <w:rFonts w:ascii="Arial" w:cs="Arial" w:eastAsia="Arial" w:hAnsi="Arial"/>
                <w:sz w:val="14"/>
                <w:szCs w:val="14"/>
                <w:color w:val="auto"/>
              </w:rPr>
              <w:t>15</w:t>
            </w:r>
          </w:p>
        </w:tc>
        <w:tc>
          <w:tcPr>
            <w:tcW w:w="260" w:type="dxa"/>
            <w:vAlign w:val="bottom"/>
            <w:gridSpan w:val="2"/>
            <w:shd w:val="clear" w:color="auto" w:fill="CCEEFF"/>
          </w:tcPr>
          <w:p>
            <w:pPr>
              <w:ind w:left="80"/>
              <w:spacing w:after="0" w:line="146"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1,464</w:t>
            </w:r>
          </w:p>
        </w:tc>
        <w:tc>
          <w:tcPr>
            <w:tcW w:w="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40"/>
              <w:spacing w:after="0" w:line="146" w:lineRule="exact"/>
              <w:rPr>
                <w:sz w:val="20"/>
                <w:szCs w:val="20"/>
                <w:color w:val="auto"/>
              </w:rPr>
            </w:pPr>
            <w:r>
              <w:rPr>
                <w:rFonts w:ascii="Arial" w:cs="Arial" w:eastAsia="Arial" w:hAnsi="Arial"/>
                <w:sz w:val="14"/>
                <w:szCs w:val="14"/>
                <w:color w:val="auto"/>
              </w:rPr>
              <w:t>735</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ind w:left="480"/>
              <w:spacing w:after="0" w:line="14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580"/>
              <w:spacing w:after="0" w:line="14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560"/>
              <w:spacing w:after="0" w:line="146"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9"/>
              <w:spacing w:after="0" w:line="146"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4"/>
                <w:szCs w:val="14"/>
                <w:color w:val="auto"/>
              </w:rPr>
              <w:t>764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4"/>
                <w:szCs w:val="14"/>
                <w:color w:val="auto"/>
              </w:rPr>
              <w:t>140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4"/>
                <w:szCs w:val="14"/>
                <w:color w:val="auto"/>
              </w:rPr>
              <w:t>238</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80"/>
              <w:spacing w:after="0" w:line="14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580"/>
              <w:spacing w:after="0" w:line="146"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9"/>
              <w:spacing w:after="0" w:line="146"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240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40"/>
              <w:spacing w:after="0" w:line="146" w:lineRule="exact"/>
              <w:rPr>
                <w:sz w:val="20"/>
                <w:szCs w:val="20"/>
                <w:color w:val="auto"/>
              </w:rPr>
            </w:pPr>
            <w:r>
              <w:rPr>
                <w:rFonts w:ascii="Arial" w:cs="Arial" w:eastAsia="Arial" w:hAnsi="Arial"/>
                <w:sz w:val="14"/>
                <w:szCs w:val="14"/>
                <w:color w:val="auto"/>
              </w:rPr>
              <w:t>238</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ind w:left="480"/>
              <w:spacing w:after="0" w:line="14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580"/>
              <w:spacing w:after="0" w:line="14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9"/>
              <w:spacing w:after="0" w:line="146"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4"/>
                <w:szCs w:val="14"/>
                <w:color w:val="auto"/>
              </w:rPr>
              <w:t>240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4"/>
                <w:szCs w:val="14"/>
                <w:color w:val="auto"/>
              </w:rPr>
              <w:t>714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80"/>
              <w:spacing w:after="0" w:line="14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580"/>
              <w:spacing w:after="0" w:line="146"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9"/>
              <w:spacing w:after="0" w:line="146"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721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40"/>
              <w:spacing w:after="0" w:line="14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6" w:lineRule="exact"/>
              <w:rPr>
                <w:sz w:val="20"/>
                <w:szCs w:val="20"/>
                <w:color w:val="auto"/>
              </w:rPr>
            </w:pPr>
            <w:r>
              <w:rPr>
                <w:rFonts w:ascii="Arial" w:cs="Arial" w:eastAsia="Arial" w:hAnsi="Arial"/>
                <w:sz w:val="14"/>
                <w:szCs w:val="14"/>
                <w:color w:val="auto"/>
              </w:rPr>
              <w:t>300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ind w:left="480"/>
              <w:spacing w:after="0" w:line="14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580"/>
              <w:spacing w:after="0" w:line="14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9"/>
              <w:spacing w:after="0" w:line="146"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4"/>
                <w:szCs w:val="14"/>
                <w:color w:val="auto"/>
              </w:rPr>
              <w:t>289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80"/>
              <w:spacing w:after="0" w:line="14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580"/>
              <w:spacing w:after="0" w:line="146"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
              <w:spacing w:after="0" w:line="146"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192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40"/>
              <w:spacing w:after="0" w:line="146" w:lineRule="exact"/>
              <w:rPr>
                <w:sz w:val="20"/>
                <w:szCs w:val="20"/>
                <w:color w:val="auto"/>
              </w:rPr>
            </w:pPr>
            <w:r>
              <w:rPr>
                <w:rFonts w:ascii="Arial" w:cs="Arial" w:eastAsia="Arial" w:hAnsi="Arial"/>
                <w:sz w:val="14"/>
                <w:szCs w:val="14"/>
                <w:color w:val="auto"/>
              </w:rPr>
              <w:t>125</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ind w:left="480"/>
              <w:spacing w:after="0" w:line="14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580"/>
              <w:spacing w:after="0" w:line="14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9"/>
              <w:spacing w:after="0" w:line="146" w:lineRule="exact"/>
              <w:rPr>
                <w:sz w:val="20"/>
                <w:szCs w:val="20"/>
                <w:color w:val="auto"/>
              </w:rPr>
            </w:pPr>
            <w:r>
              <w:rPr>
                <w:rFonts w:ascii="Arial" w:cs="Arial" w:eastAsia="Arial" w:hAnsi="Arial"/>
                <w:sz w:val="14"/>
                <w:szCs w:val="14"/>
                <w:color w:val="auto"/>
              </w:rPr>
              <w:t>(50)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4"/>
                <w:szCs w:val="14"/>
                <w:color w:val="auto"/>
              </w:rPr>
              <w:t>75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1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StereoVision, Inc.</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4"/>
                <w:szCs w:val="14"/>
                <w:color w:val="auto"/>
              </w:rPr>
              <w:t>2,798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80"/>
              <w:spacing w:after="0" w:line="14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580"/>
              <w:spacing w:after="0" w:line="146"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9"/>
              <w:spacing w:after="0" w:line="14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4"/>
                <w:szCs w:val="14"/>
                <w:color w:val="auto"/>
              </w:rPr>
              <w:t>2,798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791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ind w:left="5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791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2180" w:type="dxa"/>
            <w:vAlign w:val="bottom"/>
            <w:tcBorders>
              <w:top w:val="single" w:sz="8" w:color="CCEEFF"/>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Total non-controlled affiliates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3,499</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4,089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ind w:left="480"/>
              <w:spacing w:after="0" w:line="153" w:lineRule="exact"/>
              <w:rPr>
                <w:sz w:val="20"/>
                <w:szCs w:val="20"/>
                <w:color w:val="auto"/>
              </w:rPr>
            </w:pPr>
            <w:r>
              <w:rPr>
                <w:rFonts w:ascii="Arial" w:cs="Arial" w:eastAsia="Arial" w:hAnsi="Arial"/>
                <w:sz w:val="14"/>
                <w:szCs w:val="14"/>
                <w:color w:val="auto"/>
                <w:w w:val="85"/>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ind w:left="580"/>
              <w:spacing w:after="0" w:line="153" w:lineRule="exact"/>
              <w:rPr>
                <w:sz w:val="20"/>
                <w:szCs w:val="20"/>
                <w:color w:val="auto"/>
              </w:rPr>
            </w:pPr>
            <w:r>
              <w:rPr>
                <w:rFonts w:ascii="Arial" w:cs="Arial" w:eastAsia="Arial" w:hAnsi="Arial"/>
                <w:sz w:val="14"/>
                <w:szCs w:val="14"/>
                <w:color w:val="auto"/>
                <w:w w:val="85"/>
              </w:rPr>
              <w:t>—</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ind w:left="560"/>
              <w:spacing w:after="0" w:line="153" w:lineRule="exact"/>
              <w:rPr>
                <w:sz w:val="20"/>
                <w:szCs w:val="20"/>
                <w:color w:val="auto"/>
              </w:rPr>
            </w:pPr>
            <w:r>
              <w:rPr>
                <w:rFonts w:ascii="Arial" w:cs="Arial" w:eastAsia="Arial" w:hAnsi="Arial"/>
                <w:sz w:val="14"/>
                <w:szCs w:val="14"/>
                <w:color w:val="auto"/>
                <w:w w:val="76"/>
              </w:rPr>
              <w:t>23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(37</w:t>
            </w:r>
          </w:p>
        </w:tc>
        <w:tc>
          <w:tcPr>
            <w:tcW w:w="140" w:type="dxa"/>
            <w:vAlign w:val="bottom"/>
            <w:tcBorders>
              <w:top w:val="single" w:sz="8" w:color="CCEEFF"/>
              <w:bottom w:val="single" w:sz="8" w:color="CCEEFF"/>
            </w:tcBorders>
            <w:shd w:val="clear" w:color="auto" w:fill="CCEEFF"/>
          </w:tcPr>
          <w:p>
            <w:pPr>
              <w:jc w:val="right"/>
              <w:ind w:right="9"/>
              <w:spacing w:after="0" w:line="153"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7,574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ind w:left="560"/>
              <w:spacing w:after="0" w:line="153"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725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Transactions related to investments in non-controlled affiliated companies for the year ended December 31, 2017 were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180" w:type="dxa"/>
            <w:vAlign w:val="bottom"/>
            <w:tcBorders>
              <w:top w:val="single" w:sz="8" w:color="auto"/>
            </w:tcBorders>
            <w:vMerge w:val="restart"/>
          </w:tcPr>
          <w:p>
            <w:pPr>
              <w:ind w:left="800"/>
              <w:spacing w:after="0"/>
              <w:rPr>
                <w:sz w:val="20"/>
                <w:szCs w:val="20"/>
                <w:color w:val="auto"/>
              </w:rPr>
            </w:pPr>
            <w:r>
              <w:rPr>
                <w:rFonts w:ascii="Arial" w:cs="Arial" w:eastAsia="Arial" w:hAnsi="Arial"/>
                <w:sz w:val="14"/>
                <w:szCs w:val="14"/>
                <w:b w:val="1"/>
                <w:bCs w:val="1"/>
                <w:color w:val="auto"/>
              </w:rPr>
              <w:t>Portfolio</w:t>
            </w: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ind w:left="40"/>
              <w:spacing w:after="0" w:line="117" w:lineRule="exact"/>
              <w:rPr>
                <w:sz w:val="20"/>
                <w:szCs w:val="20"/>
                <w:color w:val="auto"/>
              </w:rPr>
            </w:pPr>
            <w:r>
              <w:rPr>
                <w:rFonts w:ascii="Arial" w:cs="Arial" w:eastAsia="Arial" w:hAnsi="Arial"/>
                <w:sz w:val="13"/>
                <w:szCs w:val="13"/>
                <w:b w:val="1"/>
                <w:bCs w:val="1"/>
                <w:color w:val="auto"/>
              </w:rPr>
              <w:t>Fair value at</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160"/>
              <w:spacing w:after="0" w:line="117" w:lineRule="exact"/>
              <w:rPr>
                <w:sz w:val="20"/>
                <w:szCs w:val="20"/>
                <w:color w:val="auto"/>
              </w:rPr>
            </w:pPr>
            <w:r>
              <w:rPr>
                <w:rFonts w:ascii="Arial" w:cs="Arial" w:eastAsia="Arial" w:hAnsi="Arial"/>
                <w:sz w:val="13"/>
                <w:szCs w:val="13"/>
                <w:b w:val="1"/>
                <w:bCs w:val="1"/>
                <w:color w:val="auto"/>
                <w:w w:val="97"/>
              </w:rPr>
              <w:t>Transfers</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Discount</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169"/>
              <w:spacing w:after="0" w:line="117" w:lineRule="exact"/>
              <w:rPr>
                <w:sz w:val="20"/>
                <w:szCs w:val="20"/>
                <w:color w:val="auto"/>
              </w:rPr>
            </w:pPr>
            <w:r>
              <w:rPr>
                <w:rFonts w:ascii="Arial" w:cs="Arial" w:eastAsia="Arial" w:hAnsi="Arial"/>
                <w:sz w:val="13"/>
                <w:szCs w:val="13"/>
                <w:b w:val="1"/>
                <w:bCs w:val="1"/>
                <w:color w:val="auto"/>
                <w:w w:val="95"/>
              </w:rPr>
              <w:t>Net</w:t>
            </w: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ind w:left="20"/>
              <w:spacing w:after="0" w:line="117" w:lineRule="exact"/>
              <w:rPr>
                <w:sz w:val="20"/>
                <w:szCs w:val="20"/>
                <w:color w:val="auto"/>
              </w:rPr>
            </w:pPr>
            <w:r>
              <w:rPr>
                <w:rFonts w:ascii="Arial" w:cs="Arial" w:eastAsia="Arial" w:hAnsi="Arial"/>
                <w:sz w:val="13"/>
                <w:szCs w:val="13"/>
                <w:b w:val="1"/>
                <w:bCs w:val="1"/>
                <w:color w:val="auto"/>
              </w:rPr>
              <w:t>Fair value at</w:t>
            </w:r>
          </w:p>
        </w:tc>
        <w:tc>
          <w:tcPr>
            <w:tcW w:w="10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Net realized</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6"/>
        </w:trPr>
        <w:tc>
          <w:tcPr>
            <w:tcW w:w="2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4"/>
              </w:rPr>
              <w:t>Purchases</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Sales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60"/>
              <w:spacing w:after="0" w:line="146" w:lineRule="exact"/>
              <w:rPr>
                <w:sz w:val="20"/>
                <w:szCs w:val="20"/>
                <w:color w:val="auto"/>
              </w:rPr>
            </w:pPr>
            <w:r>
              <w:rPr>
                <w:rFonts w:ascii="Arial" w:cs="Arial" w:eastAsia="Arial" w:hAnsi="Arial"/>
                <w:sz w:val="14"/>
                <w:szCs w:val="14"/>
                <w:b w:val="1"/>
                <w:bCs w:val="1"/>
                <w:color w:val="auto"/>
                <w:w w:val="99"/>
              </w:rPr>
              <w:t>in at fair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89"/>
              <w:spacing w:after="0" w:line="146" w:lineRule="exact"/>
              <w:rPr>
                <w:sz w:val="20"/>
                <w:szCs w:val="20"/>
                <w:color w:val="auto"/>
              </w:rPr>
            </w:pPr>
            <w:r>
              <w:rPr>
                <w:rFonts w:ascii="Arial" w:cs="Arial" w:eastAsia="Arial" w:hAnsi="Arial"/>
                <w:sz w:val="14"/>
                <w:szCs w:val="14"/>
                <w:b w:val="1"/>
                <w:bCs w:val="1"/>
                <w:color w:val="auto"/>
                <w:w w:val="92"/>
              </w:rPr>
              <w:t>unrealized</w:t>
            </w:r>
          </w:p>
        </w:tc>
        <w:tc>
          <w:tcPr>
            <w:tcW w:w="80" w:type="dxa"/>
            <w:vAlign w:val="bottom"/>
          </w:tcPr>
          <w:p>
            <w:pPr>
              <w:spacing w:after="0"/>
              <w:rPr>
                <w:sz w:val="12"/>
                <w:szCs w:val="12"/>
                <w:color w:val="auto"/>
              </w:rPr>
            </w:pPr>
          </w:p>
        </w:tc>
        <w:tc>
          <w:tcPr>
            <w:tcW w:w="1060" w:type="dxa"/>
            <w:vAlign w:val="bottom"/>
            <w:gridSpan w:val="3"/>
          </w:tcPr>
          <w:p>
            <w:pPr>
              <w:ind w:left="20"/>
              <w:spacing w:after="0" w:line="146"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Pr>
          <w:p>
            <w:pPr>
              <w:ind w:left="80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accretion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29"/>
              <w:spacing w:after="0"/>
              <w:rPr>
                <w:sz w:val="20"/>
                <w:szCs w:val="20"/>
                <w:color w:val="auto"/>
              </w:rPr>
            </w:pPr>
            <w:r>
              <w:rPr>
                <w:rFonts w:ascii="Arial" w:cs="Arial" w:eastAsia="Arial" w:hAnsi="Arial"/>
                <w:sz w:val="14"/>
                <w:szCs w:val="14"/>
                <w:b w:val="1"/>
                <w:bCs w:val="1"/>
                <w:color w:val="auto"/>
                <w:w w:val="85"/>
              </w:rPr>
              <w:t>gain (loss)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09"/>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gain (loss)</w:t>
            </w:r>
          </w:p>
        </w:tc>
        <w:tc>
          <w:tcPr>
            <w:tcW w:w="10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139"/>
        </w:trPr>
        <w:tc>
          <w:tcPr>
            <w:tcW w:w="2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ind w:left="60"/>
              <w:spacing w:after="0" w:line="13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CCEEFF"/>
          </w:tcPr>
          <w:p>
            <w:pPr>
              <w:spacing w:after="0" w:line="186" w:lineRule="exact"/>
              <w:rPr>
                <w:sz w:val="20"/>
                <w:szCs w:val="20"/>
                <w:color w:val="auto"/>
              </w:rPr>
            </w:pPr>
            <w:r>
              <w:rPr>
                <w:rFonts w:ascii="Arial" w:cs="Arial" w:eastAsia="Arial" w:hAnsi="Arial"/>
                <w:sz w:val="13"/>
                <w:szCs w:val="13"/>
                <w:color w:val="auto"/>
              </w:rPr>
              <w:t xml:space="preserve">Decisyon, Inc. </w:t>
            </w:r>
            <w:r>
              <w:rPr>
                <w:rFonts w:ascii="Arial" w:cs="Arial" w:eastAsia="Arial" w:hAnsi="Arial"/>
                <w:sz w:val="21"/>
                <w:szCs w:val="21"/>
                <w:color w:val="auto"/>
                <w:vertAlign w:val="superscript"/>
              </w:rPr>
              <w:t>(1)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85"/>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9</w:t>
            </w:r>
          </w:p>
        </w:tc>
        <w:tc>
          <w:tcPr>
            <w:tcW w:w="26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1,449</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560"/>
              <w:spacing w:after="0" w:line="14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ind w:left="40"/>
              <w:spacing w:after="0" w:line="146"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6" w:lineRule="exact"/>
              <w:rPr>
                <w:sz w:val="20"/>
                <w:szCs w:val="20"/>
                <w:color w:val="auto"/>
              </w:rPr>
            </w:pPr>
            <w:r>
              <w:rPr>
                <w:rFonts w:ascii="Arial" w:cs="Arial" w:eastAsia="Arial" w:hAnsi="Arial"/>
                <w:sz w:val="14"/>
                <w:szCs w:val="14"/>
                <w:color w:val="auto"/>
              </w:rPr>
              <w:t>715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560"/>
              <w:spacing w:after="0" w:line="146"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9"/>
              <w:spacing w:after="0" w:line="146"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4"/>
                <w:szCs w:val="14"/>
                <w:color w:val="auto"/>
              </w:rPr>
              <w:t>735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ind w:left="40"/>
              <w:spacing w:after="0" w:line="146"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4"/>
                <w:szCs w:val="14"/>
                <w:color w:val="auto"/>
              </w:rPr>
              <w:t>237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9"/>
              <w:spacing w:after="0" w:line="146"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238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560"/>
              <w:spacing w:after="0" w:line="14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ind w:left="40"/>
              <w:spacing w:after="0" w:line="146"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6" w:lineRule="exact"/>
              <w:rPr>
                <w:sz w:val="20"/>
                <w:szCs w:val="20"/>
                <w:color w:val="auto"/>
              </w:rPr>
            </w:pPr>
            <w:r>
              <w:rPr>
                <w:rFonts w:ascii="Arial" w:cs="Arial" w:eastAsia="Arial" w:hAnsi="Arial"/>
                <w:sz w:val="14"/>
                <w:szCs w:val="14"/>
                <w:color w:val="auto"/>
              </w:rPr>
              <w:t>237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9"/>
              <w:spacing w:after="0" w:line="146"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4"/>
                <w:szCs w:val="14"/>
                <w:color w:val="auto"/>
              </w:rPr>
              <w:t>238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4"/>
                <w:szCs w:val="14"/>
                <w:color w:val="auto"/>
              </w:rPr>
              <w:t>750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ind w:left="40"/>
              <w:spacing w:after="0" w:line="146"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9"/>
              <w:spacing w:after="0" w:line="146"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714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ind w:left="40"/>
              <w:spacing w:after="0" w:line="159"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125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6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125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2180" w:type="dxa"/>
            <w:vAlign w:val="bottom"/>
            <w:tcBorders>
              <w:top w:val="single" w:sz="8" w:color="CCEEFF"/>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Total non-controlled affiliates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ind w:left="560"/>
              <w:spacing w:after="0" w:line="153"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750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ind w:right="469"/>
              <w:spacing w:after="0" w:line="153"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CEEFF"/>
          </w:tcPr>
          <w:p>
            <w:pPr>
              <w:ind w:left="40"/>
              <w:spacing w:after="0" w:line="153"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2,754</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ind w:left="560"/>
              <w:spacing w:after="0" w:line="153" w:lineRule="exact"/>
              <w:rPr>
                <w:sz w:val="20"/>
                <w:szCs w:val="20"/>
                <w:color w:val="auto"/>
              </w:rPr>
            </w:pPr>
            <w:r>
              <w:rPr>
                <w:rFonts w:ascii="Arial" w:cs="Arial" w:eastAsia="Arial" w:hAnsi="Arial"/>
                <w:sz w:val="14"/>
                <w:szCs w:val="14"/>
                <w:color w:val="auto"/>
                <w:w w:val="76"/>
              </w:rPr>
              <w:t>16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(21</w:t>
            </w:r>
          </w:p>
        </w:tc>
        <w:tc>
          <w:tcPr>
            <w:tcW w:w="140" w:type="dxa"/>
            <w:vAlign w:val="bottom"/>
            <w:tcBorders>
              <w:top w:val="single" w:sz="8" w:color="CCEEFF"/>
              <w:bottom w:val="single" w:sz="8" w:color="CCEEFF"/>
            </w:tcBorders>
            <w:shd w:val="clear" w:color="auto" w:fill="CCEEFF"/>
          </w:tcPr>
          <w:p>
            <w:pPr>
              <w:jc w:val="right"/>
              <w:ind w:right="9"/>
              <w:spacing w:after="0" w:line="153"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3,499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ind w:left="560"/>
              <w:spacing w:after="0" w:line="153"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225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8103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spacing w:after="0" w:line="206" w:lineRule="exact"/>
        <w:rPr>
          <w:sz w:val="20"/>
          <w:szCs w:val="20"/>
          <w:color w:val="auto"/>
        </w:rPr>
      </w:pPr>
    </w:p>
    <w:p>
      <w:pPr>
        <w:ind w:left="320" w:right="20" w:hanging="314"/>
        <w:spacing w:after="0" w:line="265" w:lineRule="auto"/>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During the year ended December 31, 2017, the Company's ownership in the portfolio company increased to five percent of the portfolio company's voting securities.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controlled affiliated company is generally a portfolio company in which the Company owns more than 25% of such portfolio company’s voting securities or has the power to exercise control over management or policies of such portfolio company (including through a management agreement). Transactions related to investments in controlled affiliated companies for the year ended December 31, 2018 were as follows: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1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280"/>
              <w:spacing w:after="0" w:line="117" w:lineRule="exact"/>
              <w:rPr>
                <w:sz w:val="20"/>
                <w:szCs w:val="20"/>
                <w:color w:val="auto"/>
              </w:rPr>
            </w:pPr>
            <w:r>
              <w:rPr>
                <w:rFonts w:ascii="Arial" w:cs="Arial" w:eastAsia="Arial" w:hAnsi="Arial"/>
                <w:sz w:val="13"/>
                <w:szCs w:val="13"/>
                <w:b w:val="1"/>
                <w:bCs w:val="1"/>
                <w:color w:val="auto"/>
              </w:rPr>
              <w:t>Fair value at</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17" w:lineRule="exact"/>
              <w:rPr>
                <w:sz w:val="20"/>
                <w:szCs w:val="20"/>
                <w:color w:val="auto"/>
              </w:rPr>
            </w:pPr>
            <w:r>
              <w:rPr>
                <w:rFonts w:ascii="Arial" w:cs="Arial" w:eastAsia="Arial" w:hAnsi="Arial"/>
                <w:sz w:val="13"/>
                <w:szCs w:val="13"/>
                <w:b w:val="1"/>
                <w:bCs w:val="1"/>
                <w:color w:val="auto"/>
              </w:rPr>
              <w:t>Transfers</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6"/>
              </w:rPr>
              <w:t>Dividends</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169"/>
              <w:spacing w:after="0" w:line="117" w:lineRule="exact"/>
              <w:rPr>
                <w:sz w:val="20"/>
                <w:szCs w:val="20"/>
                <w:color w:val="auto"/>
              </w:rPr>
            </w:pPr>
            <w:r>
              <w:rPr>
                <w:rFonts w:ascii="Arial" w:cs="Arial" w:eastAsia="Arial" w:hAnsi="Arial"/>
                <w:sz w:val="13"/>
                <w:szCs w:val="13"/>
                <w:b w:val="1"/>
                <w:bCs w:val="1"/>
                <w:color w:val="auto"/>
                <w:w w:val="95"/>
              </w:rPr>
              <w:t>Net</w:t>
            </w: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ind w:right="260"/>
              <w:spacing w:after="0" w:line="117" w:lineRule="exact"/>
              <w:rPr>
                <w:sz w:val="20"/>
                <w:szCs w:val="20"/>
                <w:color w:val="auto"/>
              </w:rPr>
            </w:pPr>
            <w:r>
              <w:rPr>
                <w:rFonts w:ascii="Arial" w:cs="Arial" w:eastAsia="Arial" w:hAnsi="Arial"/>
                <w:sz w:val="13"/>
                <w:szCs w:val="13"/>
                <w:b w:val="1"/>
                <w:bCs w:val="1"/>
                <w:color w:val="auto"/>
              </w:rPr>
              <w:t>Fair value at</w:t>
            </w: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40"/>
              <w:spacing w:after="0" w:line="117" w:lineRule="exact"/>
              <w:rPr>
                <w:sz w:val="20"/>
                <w:szCs w:val="20"/>
                <w:color w:val="auto"/>
              </w:rPr>
            </w:pPr>
            <w:r>
              <w:rPr>
                <w:rFonts w:ascii="Arial" w:cs="Arial" w:eastAsia="Arial" w:hAnsi="Arial"/>
                <w:sz w:val="13"/>
                <w:szCs w:val="13"/>
                <w:b w:val="1"/>
                <w:bCs w:val="1"/>
                <w:color w:val="auto"/>
              </w:rPr>
              <w:t>Net</w:t>
            </w: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Dividend</w:t>
            </w:r>
          </w:p>
        </w:tc>
        <w:tc>
          <w:tcPr>
            <w:tcW w:w="0" w:type="dxa"/>
            <w:vAlign w:val="bottom"/>
          </w:tcPr>
          <w:p>
            <w:pPr>
              <w:spacing w:after="0"/>
              <w:rPr>
                <w:sz w:val="1"/>
                <w:szCs w:val="1"/>
                <w:color w:val="auto"/>
              </w:rPr>
            </w:pPr>
          </w:p>
        </w:tc>
      </w:tr>
      <w:tr>
        <w:trPr>
          <w:trHeight w:val="146"/>
        </w:trPr>
        <w:tc>
          <w:tcPr>
            <w:tcW w:w="2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spacing w:after="0" w:line="14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4"/>
              </w:rPr>
              <w:t>Purchases</w:t>
            </w:r>
          </w:p>
        </w:tc>
        <w:tc>
          <w:tcPr>
            <w:tcW w:w="12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Distributions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in/(out) at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89"/>
              <w:spacing w:after="0" w:line="146" w:lineRule="exact"/>
              <w:rPr>
                <w:sz w:val="20"/>
                <w:szCs w:val="20"/>
                <w:color w:val="auto"/>
              </w:rPr>
            </w:pPr>
            <w:r>
              <w:rPr>
                <w:rFonts w:ascii="Arial" w:cs="Arial" w:eastAsia="Arial" w:hAnsi="Arial"/>
                <w:sz w:val="14"/>
                <w:szCs w:val="14"/>
                <w:b w:val="1"/>
                <w:bCs w:val="1"/>
                <w:color w:val="auto"/>
                <w:w w:val="92"/>
              </w:rPr>
              <w:t>unrealized</w:t>
            </w:r>
          </w:p>
        </w:tc>
        <w:tc>
          <w:tcPr>
            <w:tcW w:w="80" w:type="dxa"/>
            <w:vAlign w:val="bottom"/>
          </w:tcPr>
          <w:p>
            <w:pPr>
              <w:spacing w:after="0"/>
              <w:rPr>
                <w:sz w:val="12"/>
                <w:szCs w:val="12"/>
                <w:color w:val="auto"/>
              </w:rPr>
            </w:pPr>
          </w:p>
        </w:tc>
        <w:tc>
          <w:tcPr>
            <w:tcW w:w="1060" w:type="dxa"/>
            <w:vAlign w:val="bottom"/>
            <w:gridSpan w:val="3"/>
          </w:tcPr>
          <w:p>
            <w:pPr>
              <w:ind w:left="20"/>
              <w:spacing w:after="0" w:line="14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92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Company</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29"/>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declared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49"/>
              <w:spacing w:after="0"/>
              <w:rPr>
                <w:sz w:val="20"/>
                <w:szCs w:val="20"/>
                <w:color w:val="auto"/>
              </w:rPr>
            </w:pPr>
            <w:r>
              <w:rPr>
                <w:rFonts w:ascii="Arial" w:cs="Arial" w:eastAsia="Arial" w:hAnsi="Arial"/>
                <w:sz w:val="14"/>
                <w:szCs w:val="14"/>
                <w:b w:val="1"/>
                <w:bCs w:val="1"/>
                <w:color w:val="auto"/>
                <w:w w:val="88"/>
              </w:rPr>
              <w:t>gain/(loss)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09"/>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gain/(loss)</w:t>
            </w: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39"/>
        </w:trPr>
        <w:tc>
          <w:tcPr>
            <w:tcW w:w="2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120"/>
              <w:spacing w:after="0" w:line="139"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180" w:type="dxa"/>
            <w:vAlign w:val="bottom"/>
            <w:shd w:val="clear" w:color="auto" w:fill="CCEEFF"/>
          </w:tcPr>
          <w:p>
            <w:pPr>
              <w:spacing w:after="0" w:line="199" w:lineRule="exact"/>
              <w:rPr>
                <w:sz w:val="20"/>
                <w:szCs w:val="20"/>
                <w:color w:val="auto"/>
              </w:rPr>
            </w:pPr>
            <w:r>
              <w:rPr>
                <w:rFonts w:ascii="Arial" w:cs="Arial" w:eastAsia="Arial" w:hAnsi="Arial"/>
                <w:sz w:val="14"/>
                <w:szCs w:val="14"/>
                <w:color w:val="auto"/>
              </w:rPr>
              <w:t>HSLFI</w:t>
            </w:r>
            <w:r>
              <w:rPr>
                <w:rFonts w:ascii="Arial" w:cs="Arial" w:eastAsia="Arial" w:hAnsi="Arial"/>
                <w:sz w:val="23"/>
                <w:szCs w:val="23"/>
                <w:color w:val="auto"/>
                <w:vertAlign w:val="superscript"/>
              </w:rPr>
              <w:t>(1)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13,262</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(19)</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13,243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line="153" w:lineRule="exact"/>
              <w:rPr>
                <w:sz w:val="20"/>
                <w:szCs w:val="20"/>
                <w:color w:val="auto"/>
              </w:rPr>
            </w:pPr>
            <w:r>
              <w:rPr>
                <w:rFonts w:ascii="Arial" w:cs="Arial" w:eastAsia="Arial" w:hAnsi="Arial"/>
                <w:sz w:val="14"/>
                <w:szCs w:val="14"/>
                <w:color w:val="auto"/>
              </w:rPr>
              <w:t>Total controlled affiliates</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ind w:left="560"/>
              <w:spacing w:after="0" w:line="153"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13,262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9"/>
              <w:spacing w:after="0" w:line="153"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255</w:t>
            </w:r>
          </w:p>
        </w:tc>
        <w:tc>
          <w:tcPr>
            <w:tcW w:w="2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580"/>
              <w:spacing w:after="0" w:line="153"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(255</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(19</w:t>
            </w:r>
          </w:p>
        </w:tc>
        <w:tc>
          <w:tcPr>
            <w:tcW w:w="140" w:type="dxa"/>
            <w:vAlign w:val="bottom"/>
          </w:tcPr>
          <w:p>
            <w:pPr>
              <w:jc w:val="right"/>
              <w:ind w:right="9"/>
              <w:spacing w:after="0" w:line="153"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280"/>
              <w:spacing w:after="0" w:line="153" w:lineRule="exact"/>
              <w:rPr>
                <w:sz w:val="20"/>
                <w:szCs w:val="20"/>
                <w:color w:val="auto"/>
              </w:rPr>
            </w:pPr>
            <w:r>
              <w:rPr>
                <w:rFonts w:ascii="Arial" w:cs="Arial" w:eastAsia="Arial" w:hAnsi="Arial"/>
                <w:sz w:val="14"/>
                <w:szCs w:val="14"/>
                <w:color w:val="auto"/>
                <w:w w:val="83"/>
              </w:rPr>
              <w:t>13,243</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ind w:left="560"/>
              <w:spacing w:after="0" w:line="153"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8103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spacing w:after="0" w:line="206" w:lineRule="exact"/>
        <w:rPr>
          <w:sz w:val="20"/>
          <w:szCs w:val="20"/>
          <w:color w:val="auto"/>
        </w:rPr>
      </w:pPr>
    </w:p>
    <w:p>
      <w:pPr>
        <w:jc w:val="both"/>
        <w:ind w:left="320" w:hanging="314"/>
        <w:spacing w:after="0" w:line="269" w:lineRule="auto"/>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 and Arena are the members of HSLFI, a joint venture formed as a Delaware limited liability company that is not consolidated by either member for financial reporting purposes. The members provide cash or securities in portfolio companies to HSLFI in exchange for limited liability company equity interests. All portfolio and other material decisions regarding HSLFI must be submitted to HSLFI’s board of managers which is comprised of an equal number of managers appointed by each of the Company and Arena. Because management of HSLFI is shared equally between the Company and Arena, the Company does not believe it controls HSLFI for purposes of the 1940 Act or otherwise.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transactions related to investments in controlled affiliated companies for the year ended 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w:t>
      </w:r>
    </w:p>
    <w:p>
      <w:pPr>
        <w:spacing w:after="0" w:line="22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uses fair value measurements to record fair value adjustments to certain assets and liabilities and to determine fair value disclosures. Fair value is the price that would be received to sell an asset or paid to transfer a liability in an orderly transaction between market participants at the measurement date. Fair value is best determined based upon quoted market prices. However, in certain instances, there are no quoted market prices for certain assets or liabilities.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asset or liability.</w:t>
      </w:r>
    </w:p>
    <w:p>
      <w:pPr>
        <w:spacing w:after="0" w:line="18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Fair value measurements focus on exit prices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w:t>
      </w:r>
    </w:p>
    <w:p>
      <w:pPr>
        <w:spacing w:after="0" w:line="19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The Company’s fair value measurements are classified into a fair value hierarchy in accordance with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based on the markets in which the assets and liabilities are traded and the reliability of the assumptions used to determine fair value. The three categories within the hierarchy are as follows:</w:t>
      </w:r>
    </w:p>
    <w:p>
      <w:pPr>
        <w:spacing w:after="0" w:line="183" w:lineRule="exact"/>
        <w:rPr>
          <w:sz w:val="20"/>
          <w:szCs w:val="20"/>
          <w:color w:val="auto"/>
        </w:rPr>
      </w:pPr>
    </w:p>
    <w:p>
      <w:pPr>
        <w:ind w:left="320"/>
        <w:spacing w:after="0"/>
        <w:tabs>
          <w:tab w:leader="none" w:pos="126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5"/>
          <w:szCs w:val="15"/>
          <w:color w:val="auto"/>
        </w:rPr>
        <w:t>Quoted prices in active markets for identical assets and liabilities.</w:t>
      </w:r>
    </w:p>
    <w:p>
      <w:pPr>
        <w:spacing w:after="0" w:line="217" w:lineRule="exact"/>
        <w:rPr>
          <w:sz w:val="20"/>
          <w:szCs w:val="20"/>
          <w:color w:val="auto"/>
        </w:rPr>
      </w:pPr>
    </w:p>
    <w:p>
      <w:pPr>
        <w:jc w:val="both"/>
        <w:ind w:left="1280" w:hanging="954"/>
        <w:spacing w:after="0" w:line="255" w:lineRule="auto"/>
        <w:tabs>
          <w:tab w:leader="none" w:pos="126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89" w:lineRule="exact"/>
        <w:rPr>
          <w:sz w:val="20"/>
          <w:szCs w:val="20"/>
          <w:color w:val="auto"/>
        </w:rPr>
      </w:pPr>
    </w:p>
    <w:p>
      <w:pPr>
        <w:jc w:val="both"/>
        <w:ind w:left="1280" w:hanging="954"/>
        <w:spacing w:after="0" w:line="330" w:lineRule="auto"/>
        <w:tabs>
          <w:tab w:leader="none" w:pos="126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5"/>
          <w:szCs w:val="15"/>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Investments are valued at fair value as determined in good faith by the Board, based on input of management, the audit committee and independent valuation firms which are engaged at the direction of the Board to assist in the valuation of each portfolio investment lacking a readily available market quotation at least once during a trailing twelve-month period under a valuation policy and a consistently applied valuation process. This valuation process is conducted at the end of each fiscal quarter, with at least 25% (based on fair value) of the Company’s valuation of portfolio companies lacking readily available market quotations subject to review by an independent valuation firm.</w:t>
      </w:r>
    </w:p>
    <w:p>
      <w:pPr>
        <w:spacing w:after="0" w:line="195"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Because there is not a readily available market value for most of the investments in its portfolio, the Company values substantially all of its portfolio investments at fair value as determined in good faith by the Board, as described herein. Due to the inherent uncertainty of determining the fair value of investments that do not have a readily available market value, the fair value of the Company's investments may fluctuate from period to period. Additionally, the fair value of the Company's investments may differ significantly from the values that would have been used had a ready market existed for such investments and may differ materially from the values that the Company may ultimately realize. Further, such investments are generally subject to legal and other restrictions on resale or otherwise are less liquid than publicly traded securities. If the Company was required to liquidate a portfolio investment in a forced or liquidation sale, the Company could realize significantly less than the value at which the Company has recorded such portfolio investment.</w:t>
      </w:r>
    </w:p>
    <w:p>
      <w:pPr>
        <w:spacing w:after="0" w:line="15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i w:val="1"/>
          <w:iCs w:val="1"/>
          <w:color w:val="auto"/>
        </w:rPr>
        <w:t xml:space="preserve">Cash and interest receivable: </w:t>
      </w:r>
      <w:r>
        <w:rPr>
          <w:rFonts w:ascii="Arial" w:cs="Arial" w:eastAsia="Arial" w:hAnsi="Arial"/>
          <w:sz w:val="18"/>
          <w:szCs w:val="18"/>
          <w:color w:val="auto"/>
        </w:rPr>
        <w:t>The carrying amount is a reasonable estimate of fair value. These financial instruments are not recorded at fair value on a</w:t>
      </w:r>
      <w:r>
        <w:rPr>
          <w:rFonts w:ascii="Arial" w:cs="Arial" w:eastAsia="Arial" w:hAnsi="Arial"/>
          <w:sz w:val="18"/>
          <w:szCs w:val="18"/>
          <w:i w:val="1"/>
          <w:iCs w:val="1"/>
          <w:color w:val="auto"/>
        </w:rPr>
        <w:t xml:space="preserve"> </w:t>
      </w:r>
      <w:r>
        <w:rPr>
          <w:rFonts w:ascii="Arial" w:cs="Arial" w:eastAsia="Arial" w:hAnsi="Arial"/>
          <w:sz w:val="18"/>
          <w:szCs w:val="18"/>
          <w:color w:val="auto"/>
        </w:rPr>
        <w:t>recurring basis and are categorized as Level 1 within the fair value hierarchy described above.</w:t>
      </w:r>
    </w:p>
    <w:p>
      <w:pPr>
        <w:spacing w:after="0" w:line="17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Debt investments: </w:t>
      </w:r>
      <w:r>
        <w:rPr>
          <w:rFonts w:ascii="Arial" w:cs="Arial" w:eastAsia="Arial" w:hAnsi="Arial"/>
          <w:sz w:val="18"/>
          <w:szCs w:val="18"/>
          <w:color w:val="auto"/>
        </w:rPr>
        <w:t>The fair value of debt investments is estimated by discounting the expected future cash flows using the year end rates at which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debt investments would be made to borrowers with similar credit ratings and for the same remaining maturities. At December 31, 2018 and 2017, the hypothetical market yields used ranged from 11% to 25% and 10% to 25%, respectively. Significant increases (decreases) in this unobservable input would result in a significantly lower (higher) fair value measurement. These assets are recorded at fair value on a recurring basis and are categorized as Level 3 within the fair value hierarchy described above.</w:t>
      </w:r>
    </w:p>
    <w:p>
      <w:pPr>
        <w:spacing w:after="0" w:line="195" w:lineRule="exact"/>
        <w:rPr>
          <w:sz w:val="20"/>
          <w:szCs w:val="20"/>
          <w:color w:val="auto"/>
        </w:rPr>
      </w:pPr>
    </w:p>
    <w:p>
      <w:pPr>
        <w:ind w:right="300" w:firstLine="318"/>
        <w:spacing w:after="0" w:line="265" w:lineRule="auto"/>
        <w:rPr>
          <w:sz w:val="20"/>
          <w:szCs w:val="20"/>
          <w:color w:val="auto"/>
        </w:rPr>
      </w:pPr>
      <w:r>
        <w:rPr>
          <w:rFonts w:ascii="Arial" w:cs="Arial" w:eastAsia="Arial" w:hAnsi="Arial"/>
          <w:sz w:val="18"/>
          <w:szCs w:val="18"/>
          <w:color w:val="auto"/>
        </w:rPr>
        <w:t>Under certain circumstances, the Company may use an alternative technique to value debt investments that better reflects its fair value such as the use of multiple probability weighted cash flow models when the expected future cash flows contain elements of variability.</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Warrant investments: </w:t>
      </w:r>
      <w:r>
        <w:rPr>
          <w:rFonts w:ascii="Arial" w:cs="Arial" w:eastAsia="Arial" w:hAnsi="Arial"/>
          <w:sz w:val="17"/>
          <w:szCs w:val="17"/>
          <w:color w:val="auto"/>
        </w:rPr>
        <w:t>The Company values its warrants using the Black-Scholes valuation model incorporating the following material assumptions:</w:t>
      </w:r>
    </w:p>
    <w:p>
      <w:pPr>
        <w:spacing w:after="0" w:line="229" w:lineRule="exact"/>
        <w:rPr>
          <w:sz w:val="20"/>
          <w:szCs w:val="20"/>
          <w:color w:val="auto"/>
        </w:rPr>
      </w:pPr>
    </w:p>
    <w:p>
      <w:pPr>
        <w:ind w:left="640" w:hanging="316"/>
        <w:spacing w:after="0" w:line="366" w:lineRule="auto"/>
        <w:tabs>
          <w:tab w:leader="none" w:pos="6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Underlying asset value of the issuer is estimated based on information available, including any information regarding the most recent rounds of borrower funding. Significant increases (decreases) in this unobservable input would result in a significantly higher (lower) fair value measurement.</w:t>
      </w:r>
    </w:p>
    <w:p>
      <w:pPr>
        <w:spacing w:after="0" w:line="110" w:lineRule="exact"/>
        <w:rPr>
          <w:rFonts w:ascii="Arial" w:cs="Arial" w:eastAsia="Arial" w:hAnsi="Arial"/>
          <w:sz w:val="15"/>
          <w:szCs w:val="15"/>
          <w:color w:val="auto"/>
        </w:rPr>
      </w:pPr>
    </w:p>
    <w:p>
      <w:pPr>
        <w:jc w:val="both"/>
        <w:ind w:left="640" w:hanging="316"/>
        <w:spacing w:after="0" w:line="255"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indices of publicly traded companies similar in nature to the underlying company issuing the warrant. A total of seven such indices are used. Significant increases (decreases) in this unobservable input would result in a significantly higher (lower) fair value measurement.</w:t>
      </w:r>
    </w:p>
    <w:p>
      <w:pPr>
        <w:spacing w:after="0" w:line="188" w:lineRule="exact"/>
        <w:rPr>
          <w:rFonts w:ascii="Arial" w:cs="Arial" w:eastAsia="Arial" w:hAnsi="Arial"/>
          <w:sz w:val="18"/>
          <w:szCs w:val="18"/>
          <w:color w:val="auto"/>
        </w:rPr>
      </w:pPr>
    </w:p>
    <w:p>
      <w:pPr>
        <w:ind w:left="640" w:hanging="316"/>
        <w:spacing w:after="0" w:line="265"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w:t>
      </w:r>
    </w:p>
    <w:p>
      <w:pPr>
        <w:spacing w:after="0" w:line="179" w:lineRule="exact"/>
        <w:rPr>
          <w:rFonts w:ascii="Arial" w:cs="Arial" w:eastAsia="Arial" w:hAnsi="Arial"/>
          <w:sz w:val="18"/>
          <w:szCs w:val="18"/>
          <w:color w:val="auto"/>
        </w:rPr>
      </w:pPr>
    </w:p>
    <w:p>
      <w:pPr>
        <w:ind w:left="640" w:hanging="316"/>
        <w:spacing w:after="0" w:line="265"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management’s judgment about the general industry environment.</w:t>
      </w:r>
    </w:p>
    <w:p>
      <w:pPr>
        <w:spacing w:after="0" w:line="179" w:lineRule="exact"/>
        <w:rPr>
          <w:rFonts w:ascii="Arial" w:cs="Arial" w:eastAsia="Arial" w:hAnsi="Arial"/>
          <w:sz w:val="18"/>
          <w:szCs w:val="18"/>
          <w:color w:val="auto"/>
        </w:rPr>
      </w:pPr>
    </w:p>
    <w:p>
      <w:pPr>
        <w:jc w:val="both"/>
        <w:ind w:left="640" w:hanging="316"/>
        <w:spacing w:after="0" w:line="250"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Historical portfolio experience on cancellations and exercises of the Company’s warrants are utilized as the basis for determining the estimated time to exit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would result in significantly higher (lower) fair value measurement.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Under certain circumstances the Company may use an alternative technique to value warrants that better reflects the warrants’ fair value, such as an expected settlement of a warrant in the near term or a model that incorporates a put feature associated with the warrant. The fair value may be determined based on the expected proceeds to be received from such settlement or based on the net present value of the expected proceeds from the put option.</w:t>
      </w:r>
    </w:p>
    <w:p>
      <w:pPr>
        <w:spacing w:after="0" w:line="13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fair value of the Company’s warrants held in publicly traded companies is determined based on inputs that are readily available in public markets or can be derived from information available in public markets. Therefore, the Company has categorized these warrants as Level 2 within the fair value hierarchy described above. The fair value of the Company’s warrants held in private companies is determined using both observable and unobservable inputs and represents management’s best estimate of what market participants would use in pricing the warrants at the measurement date. Therefore, the Company has categorized these warrants as Level 3 within the fair value hierarchy described above. These assets are recorded at fair value on a recurring basis.</w:t>
      </w:r>
    </w:p>
    <w:p>
      <w:pPr>
        <w:spacing w:after="0" w:line="152"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i w:val="1"/>
          <w:iCs w:val="1"/>
          <w:color w:val="auto"/>
        </w:rPr>
        <w:t xml:space="preserve">Equity investments: </w:t>
      </w:r>
      <w:r>
        <w:rPr>
          <w:rFonts w:ascii="Arial" w:cs="Arial" w:eastAsia="Arial" w:hAnsi="Arial"/>
          <w:sz w:val="15"/>
          <w:szCs w:val="15"/>
          <w:color w:val="auto"/>
        </w:rPr>
        <w:t>The fair value of an equity investment in a privately held company is initially the face value of the amount invested.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adjusts the fair value of equity investments in private companies upon the completion of a new third-party round of equity financing. The Company may make adjustments to fair value, absent a new equity financing event, based upon positive or negative changes in a portfolio company’s financial or operational performance. Significant increases (decreases) in this unobservable input would result in a significantly higher (lower) fair value measurement. The Company has categorized these equity investments as Level 3 within the fair value hierarchy described above. The fair value of an equity investment in a publicly traded company is based upon the closing public share price on the date of measurement. Therefore, the Company has categorized these equity investments as Level 1 within the fair value hierarchy described above. These assets are recorded at fair value on a recurring basis.</w:t>
      </w:r>
    </w:p>
    <w:p>
      <w:pPr>
        <w:spacing w:after="0" w:line="15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Other investments are valued based on the facts and circumstances of the underlying contractual agreement. The Company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values these contractual agreements using a multiple probability weighted cash flow model as the contractual future cash flows contain elements of variability. Significant changes in the estimated cash flows and probability weightings would result in a significantly higher or lower fair value measurement. The Company has categorized these other investments as Level 3 within the fair value hierarchy described above. These other investments are recorded at fair value on a recurring basis.</w:t>
      </w:r>
    </w:p>
    <w:p>
      <w:pPr>
        <w:spacing w:after="0" w:line="19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tables provide a summary of quantitative information about the Company’s Level 3 fair value measurements of its investments as of December 31, 2018 and 2017. In addition to the techniques and inputs noted in the table below, according to the Company’s valuation policy, the Company may also use other valuation techniques and methodologies when determining its fair value measurements.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ind w:right="120" w:firstLine="318"/>
        <w:spacing w:after="0" w:line="265"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December 31, 2018:</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Fair</w:t>
            </w:r>
          </w:p>
        </w:tc>
        <w:tc>
          <w:tcPr>
            <w:tcW w:w="2600" w:type="dxa"/>
            <w:vAlign w:val="bottom"/>
            <w:tcBorders>
              <w:top w:val="single" w:sz="8" w:color="auto"/>
            </w:tcBorders>
          </w:tcPr>
          <w:p>
            <w:pPr>
              <w:ind w:left="720"/>
              <w:spacing w:after="0" w:line="129" w:lineRule="exact"/>
              <w:rPr>
                <w:sz w:val="20"/>
                <w:szCs w:val="20"/>
                <w:color w:val="auto"/>
              </w:rPr>
            </w:pPr>
            <w:r>
              <w:rPr>
                <w:rFonts w:ascii="Arial" w:cs="Arial" w:eastAsia="Arial" w:hAnsi="Arial"/>
                <w:sz w:val="14"/>
                <w:szCs w:val="14"/>
                <w:b w:val="1"/>
                <w:bCs w:val="1"/>
                <w:color w:val="auto"/>
              </w:rPr>
              <w:t>Valuation Techniques/</w:t>
            </w:r>
          </w:p>
        </w:tc>
        <w:tc>
          <w:tcPr>
            <w:tcW w:w="2240" w:type="dxa"/>
            <w:vAlign w:val="bottom"/>
            <w:tcBorders>
              <w:top w:val="single" w:sz="8" w:color="auto"/>
            </w:tcBorders>
          </w:tcPr>
          <w:p>
            <w:pPr>
              <w:ind w:left="660"/>
              <w:spacing w:after="0" w:line="129" w:lineRule="exact"/>
              <w:rPr>
                <w:sz w:val="20"/>
                <w:szCs w:val="20"/>
                <w:color w:val="auto"/>
              </w:rPr>
            </w:pPr>
            <w:r>
              <w:rPr>
                <w:rFonts w:ascii="Arial" w:cs="Arial" w:eastAsia="Arial" w:hAnsi="Arial"/>
                <w:sz w:val="14"/>
                <w:szCs w:val="14"/>
                <w:b w:val="1"/>
                <w:bCs w:val="1"/>
                <w:color w:val="auto"/>
              </w:rPr>
              <w:t>Unobservable</w:t>
            </w:r>
          </w:p>
        </w:tc>
        <w:tc>
          <w:tcPr>
            <w:tcW w:w="18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70"/>
              <w:spacing w:after="0" w:line="12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Investment Type</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260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Methodologies</w:t>
            </w:r>
          </w:p>
        </w:tc>
        <w:tc>
          <w:tcPr>
            <w:tcW w:w="22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Input</w:t>
            </w:r>
          </w:p>
        </w:tc>
        <w:tc>
          <w:tcPr>
            <w:tcW w:w="188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Range</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70"/>
              <w:spacing w:after="0" w:line="197" w:lineRule="exact"/>
              <w:rPr>
                <w:sz w:val="20"/>
                <w:szCs w:val="20"/>
                <w:color w:val="auto"/>
              </w:rPr>
            </w:pPr>
            <w:r>
              <w:rPr>
                <w:rFonts w:ascii="Arial" w:cs="Arial" w:eastAsia="Arial" w:hAnsi="Arial"/>
                <w:sz w:val="14"/>
                <w:szCs w:val="14"/>
                <w:b w:val="1"/>
                <w:bCs w:val="1"/>
                <w:color w:val="auto"/>
                <w:w w:val="84"/>
              </w:rPr>
              <w:t>Average</w:t>
            </w:r>
            <w:r>
              <w:rPr>
                <w:rFonts w:ascii="Arial" w:cs="Arial" w:eastAsia="Arial" w:hAnsi="Arial"/>
                <w:sz w:val="22"/>
                <w:szCs w:val="22"/>
                <w:b w:val="1"/>
                <w:bCs w:val="1"/>
                <w:color w:val="auto"/>
                <w:w w:val="84"/>
                <w:vertAlign w:val="superscript"/>
              </w:rPr>
              <w:t>(1)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40" w:type="dxa"/>
            <w:vAlign w:val="bottom"/>
            <w:gridSpan w:val="2"/>
          </w:tcPr>
          <w:p>
            <w:pPr>
              <w:ind w:left="1140"/>
              <w:spacing w:after="0" w:line="139" w:lineRule="exact"/>
              <w:rPr>
                <w:sz w:val="20"/>
                <w:szCs w:val="20"/>
                <w:color w:val="auto"/>
              </w:rPr>
            </w:pPr>
            <w:r>
              <w:rPr>
                <w:rFonts w:ascii="Arial" w:cs="Arial" w:eastAsia="Arial" w:hAnsi="Arial"/>
                <w:sz w:val="14"/>
                <w:szCs w:val="14"/>
                <w:b w:val="1"/>
                <w:bCs w:val="1"/>
                <w:color w:val="auto"/>
              </w:rPr>
              <w:t>(Dollars in thousands, except per share data)</w:t>
            </w:r>
          </w:p>
        </w:tc>
        <w:tc>
          <w:tcPr>
            <w:tcW w:w="1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Debt investments</w:t>
            </w:r>
          </w:p>
        </w:tc>
        <w:tc>
          <w:tcPr>
            <w:tcW w:w="240" w:type="dxa"/>
            <w:vAlign w:val="bottom"/>
            <w:gridSpan w:val="2"/>
            <w:shd w:val="clear" w:color="auto" w:fill="CCEEFF"/>
          </w:tcPr>
          <w:p>
            <w:pPr>
              <w:jc w:val="right"/>
              <w:ind w:right="10"/>
              <w:spacing w:after="0" w:line="146"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4"/>
                <w:szCs w:val="14"/>
                <w:color w:val="auto"/>
              </w:rPr>
              <w:t>216,401</w:t>
            </w:r>
          </w:p>
        </w:tc>
        <w:tc>
          <w:tcPr>
            <w:tcW w:w="260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w w:val="96"/>
              </w:rPr>
              <w:t>Discounted Expected Future Cash Flows</w:t>
            </w:r>
          </w:p>
        </w:tc>
        <w:tc>
          <w:tcPr>
            <w:tcW w:w="2240" w:type="dxa"/>
            <w:vAlign w:val="bottom"/>
            <w:shd w:val="clear" w:color="auto" w:fill="CCEEFF"/>
          </w:tcPr>
          <w:p>
            <w:pPr>
              <w:ind w:left="160"/>
              <w:spacing w:after="0" w:line="146" w:lineRule="exact"/>
              <w:rPr>
                <w:sz w:val="20"/>
                <w:szCs w:val="20"/>
                <w:color w:val="auto"/>
              </w:rPr>
            </w:pPr>
            <w:r>
              <w:rPr>
                <w:rFonts w:ascii="Arial" w:cs="Arial" w:eastAsia="Arial" w:hAnsi="Arial"/>
                <w:sz w:val="14"/>
                <w:szCs w:val="14"/>
                <w:color w:val="auto"/>
              </w:rPr>
              <w:t>Hypothetical Market Yield</w:t>
            </w:r>
          </w:p>
        </w:tc>
        <w:tc>
          <w:tcPr>
            <w:tcW w:w="1880" w:type="dxa"/>
            <w:vAlign w:val="bottom"/>
            <w:shd w:val="clear" w:color="auto" w:fill="CCEEFF"/>
          </w:tcPr>
          <w:p>
            <w:pPr>
              <w:jc w:val="center"/>
              <w:ind w:left="69"/>
              <w:spacing w:after="0" w:line="146" w:lineRule="exact"/>
              <w:rPr>
                <w:sz w:val="20"/>
                <w:szCs w:val="20"/>
                <w:color w:val="auto"/>
              </w:rPr>
            </w:pPr>
            <w:r>
              <w:rPr>
                <w:rFonts w:ascii="Arial" w:cs="Arial" w:eastAsia="Arial" w:hAnsi="Arial"/>
                <w:sz w:val="14"/>
                <w:szCs w:val="14"/>
                <w:color w:val="auto"/>
                <w:w w:val="92"/>
              </w:rPr>
              <w:t>11% – 25%</w:t>
            </w: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right="50"/>
              <w:spacing w:after="0" w:line="146" w:lineRule="exact"/>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9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Warrant investments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4"/>
                <w:szCs w:val="14"/>
                <w:color w:val="auto"/>
              </w:rPr>
              <w:t>7,888</w:t>
            </w:r>
          </w:p>
        </w:tc>
        <w:tc>
          <w:tcPr>
            <w:tcW w:w="2600" w:type="dxa"/>
            <w:vAlign w:val="bottom"/>
            <w:shd w:val="clear" w:color="auto" w:fill="CCEEFF"/>
          </w:tcPr>
          <w:p>
            <w:pPr>
              <w:ind w:left="120"/>
              <w:spacing w:after="0" w:line="127" w:lineRule="exact"/>
              <w:rPr>
                <w:sz w:val="20"/>
                <w:szCs w:val="20"/>
                <w:color w:val="auto"/>
              </w:rPr>
            </w:pPr>
            <w:r>
              <w:rPr>
                <w:rFonts w:ascii="Arial" w:cs="Arial" w:eastAsia="Arial" w:hAnsi="Arial"/>
                <w:sz w:val="14"/>
                <w:szCs w:val="14"/>
                <w:color w:val="auto"/>
              </w:rPr>
              <w:t>Black-Scholes Valuation Model</w:t>
            </w:r>
          </w:p>
        </w:tc>
        <w:tc>
          <w:tcPr>
            <w:tcW w:w="2240" w:type="dxa"/>
            <w:vAlign w:val="bottom"/>
            <w:shd w:val="clear" w:color="auto" w:fill="CCEEFF"/>
          </w:tcPr>
          <w:p>
            <w:pPr>
              <w:ind w:left="160"/>
              <w:spacing w:after="0" w:line="127" w:lineRule="exact"/>
              <w:rPr>
                <w:sz w:val="20"/>
                <w:szCs w:val="20"/>
                <w:color w:val="auto"/>
              </w:rPr>
            </w:pPr>
            <w:r>
              <w:rPr>
                <w:rFonts w:ascii="Arial" w:cs="Arial" w:eastAsia="Arial" w:hAnsi="Arial"/>
                <w:sz w:val="14"/>
                <w:szCs w:val="14"/>
                <w:color w:val="auto"/>
              </w:rPr>
              <w:t>Price Per Share</w:t>
            </w:r>
          </w:p>
        </w:tc>
        <w:tc>
          <w:tcPr>
            <w:tcW w:w="1880" w:type="dxa"/>
            <w:vAlign w:val="bottom"/>
            <w:shd w:val="clear" w:color="auto" w:fill="CCEEFF"/>
          </w:tcPr>
          <w:p>
            <w:pPr>
              <w:jc w:val="center"/>
              <w:ind w:left="89"/>
              <w:spacing w:after="0" w:line="127" w:lineRule="exact"/>
              <w:rPr>
                <w:sz w:val="20"/>
                <w:szCs w:val="20"/>
                <w:color w:val="auto"/>
              </w:rPr>
            </w:pPr>
            <w:r>
              <w:rPr>
                <w:rFonts w:ascii="Arial" w:cs="Arial" w:eastAsia="Arial" w:hAnsi="Arial"/>
                <w:sz w:val="14"/>
                <w:szCs w:val="14"/>
                <w:color w:val="auto"/>
                <w:w w:val="90"/>
              </w:rPr>
              <w:t>$0.00 – $980.00</w:t>
            </w:r>
          </w:p>
        </w:tc>
        <w:tc>
          <w:tcPr>
            <w:tcW w:w="50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right="50"/>
              <w:spacing w:after="0" w:line="127" w:lineRule="exact"/>
              <w:rPr>
                <w:sz w:val="20"/>
                <w:szCs w:val="20"/>
                <w:color w:val="auto"/>
              </w:rPr>
            </w:pPr>
            <w:r>
              <w:rPr>
                <w:rFonts w:ascii="Arial" w:cs="Arial" w:eastAsia="Arial" w:hAnsi="Arial"/>
                <w:sz w:val="14"/>
                <w:szCs w:val="14"/>
                <w:color w:val="auto"/>
                <w:w w:val="88"/>
              </w:rPr>
              <w:t>$44.76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240" w:type="dxa"/>
            <w:vAlign w:val="bottom"/>
            <w:shd w:val="clear" w:color="auto" w:fill="CCEEFF"/>
          </w:tcPr>
          <w:p>
            <w:pPr>
              <w:ind w:left="160"/>
              <w:spacing w:after="0" w:line="146" w:lineRule="exact"/>
              <w:rPr>
                <w:sz w:val="20"/>
                <w:szCs w:val="20"/>
                <w:color w:val="auto"/>
              </w:rPr>
            </w:pPr>
            <w:r>
              <w:rPr>
                <w:rFonts w:ascii="Arial" w:cs="Arial" w:eastAsia="Arial" w:hAnsi="Arial"/>
                <w:sz w:val="14"/>
                <w:szCs w:val="14"/>
                <w:color w:val="auto"/>
              </w:rPr>
              <w:t>Average Industry Volatility</w:t>
            </w:r>
          </w:p>
        </w:tc>
        <w:tc>
          <w:tcPr>
            <w:tcW w:w="1880" w:type="dxa"/>
            <w:vAlign w:val="bottom"/>
            <w:shd w:val="clear" w:color="auto" w:fill="CCEEFF"/>
          </w:tcPr>
          <w:p>
            <w:pPr>
              <w:jc w:val="center"/>
              <w:ind w:left="69"/>
              <w:spacing w:after="0" w:line="146" w:lineRule="exact"/>
              <w:rPr>
                <w:sz w:val="20"/>
                <w:szCs w:val="20"/>
                <w:color w:val="auto"/>
              </w:rPr>
            </w:pPr>
            <w:r>
              <w:rPr>
                <w:rFonts w:ascii="Arial" w:cs="Arial" w:eastAsia="Arial" w:hAnsi="Arial"/>
                <w:sz w:val="14"/>
                <w:szCs w:val="14"/>
                <w:color w:val="auto"/>
                <w:w w:val="92"/>
              </w:rPr>
              <w:t>20%</w:t>
            </w: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right="50"/>
              <w:spacing w:after="0" w:line="146" w:lineRule="exact"/>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240" w:type="dxa"/>
            <w:vAlign w:val="bottom"/>
            <w:shd w:val="clear" w:color="auto" w:fill="CCEEFF"/>
          </w:tcPr>
          <w:p>
            <w:pPr>
              <w:ind w:left="160"/>
              <w:spacing w:after="0" w:line="146" w:lineRule="exact"/>
              <w:rPr>
                <w:sz w:val="20"/>
                <w:szCs w:val="20"/>
                <w:color w:val="auto"/>
              </w:rPr>
            </w:pPr>
            <w:r>
              <w:rPr>
                <w:rFonts w:ascii="Arial" w:cs="Arial" w:eastAsia="Arial" w:hAnsi="Arial"/>
                <w:sz w:val="14"/>
                <w:szCs w:val="14"/>
                <w:color w:val="auto"/>
              </w:rPr>
              <w:t>Marketability Discount</w:t>
            </w:r>
          </w:p>
        </w:tc>
        <w:tc>
          <w:tcPr>
            <w:tcW w:w="1880" w:type="dxa"/>
            <w:vAlign w:val="bottom"/>
            <w:shd w:val="clear" w:color="auto" w:fill="CCEEFF"/>
          </w:tcPr>
          <w:p>
            <w:pPr>
              <w:jc w:val="center"/>
              <w:ind w:left="69"/>
              <w:spacing w:after="0" w:line="146" w:lineRule="exact"/>
              <w:rPr>
                <w:sz w:val="20"/>
                <w:szCs w:val="20"/>
                <w:color w:val="auto"/>
              </w:rPr>
            </w:pPr>
            <w:r>
              <w:rPr>
                <w:rFonts w:ascii="Arial" w:cs="Arial" w:eastAsia="Arial" w:hAnsi="Arial"/>
                <w:sz w:val="14"/>
                <w:szCs w:val="14"/>
                <w:color w:val="auto"/>
                <w:w w:val="92"/>
              </w:rPr>
              <w:t>20%</w:t>
            </w: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right="50"/>
              <w:spacing w:after="0" w:line="146" w:lineRule="exact"/>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Estimated Time to Exit</w:t>
            </w:r>
          </w:p>
        </w:tc>
        <w:tc>
          <w:tcPr>
            <w:tcW w:w="18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1 to 5 years</w:t>
            </w:r>
          </w:p>
        </w:tc>
        <w:tc>
          <w:tcPr>
            <w:tcW w:w="500" w:type="dxa"/>
            <w:vAlign w:val="bottom"/>
            <w:shd w:val="clear" w:color="auto" w:fill="CCEEFF"/>
          </w:tcPr>
          <w:p>
            <w:pPr>
              <w:spacing w:after="0"/>
              <w:rPr>
                <w:sz w:val="14"/>
                <w:szCs w:val="14"/>
                <w:color w:val="auto"/>
              </w:rPr>
            </w:pPr>
          </w:p>
        </w:tc>
        <w:tc>
          <w:tcPr>
            <w:tcW w:w="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 years</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120" w:type="dxa"/>
            <w:vAlign w:val="bottom"/>
            <w:shd w:val="clear" w:color="auto" w:fill="CCEEFF"/>
          </w:tcPr>
          <w:p>
            <w:pPr>
              <w:spacing w:after="0"/>
              <w:rPr>
                <w:sz w:val="24"/>
                <w:szCs w:val="24"/>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Estimated Proceeds</w:t>
            </w:r>
          </w:p>
        </w:tc>
        <w:tc>
          <w:tcPr>
            <w:tcW w:w="22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Price Per Share</w:t>
            </w:r>
          </w:p>
        </w:tc>
        <w:tc>
          <w:tcPr>
            <w:tcW w:w="188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w w:val="91"/>
              </w:rPr>
              <w:t>$0.21</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91"/>
              </w:rPr>
              <w:t>$0.21</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940" w:type="dxa"/>
            <w:vAlign w:val="bottom"/>
          </w:tcPr>
          <w:p>
            <w:pPr>
              <w:spacing w:after="0" w:line="127" w:lineRule="exact"/>
              <w:rPr>
                <w:sz w:val="20"/>
                <w:szCs w:val="20"/>
                <w:color w:val="auto"/>
              </w:rPr>
            </w:pPr>
            <w:r>
              <w:rPr>
                <w:rFonts w:ascii="Arial" w:cs="Arial" w:eastAsia="Arial" w:hAnsi="Arial"/>
                <w:sz w:val="14"/>
                <w:szCs w:val="14"/>
                <w:color w:val="auto"/>
              </w:rPr>
              <w:t>Other investments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27" w:lineRule="exact"/>
              <w:rPr>
                <w:sz w:val="20"/>
                <w:szCs w:val="20"/>
                <w:color w:val="auto"/>
              </w:rPr>
            </w:pPr>
            <w:r>
              <w:rPr>
                <w:rFonts w:ascii="Arial" w:cs="Arial" w:eastAsia="Arial" w:hAnsi="Arial"/>
                <w:sz w:val="14"/>
                <w:szCs w:val="14"/>
                <w:color w:val="auto"/>
              </w:rPr>
              <w:t>7,640</w:t>
            </w:r>
          </w:p>
        </w:tc>
        <w:tc>
          <w:tcPr>
            <w:tcW w:w="120" w:type="dxa"/>
            <w:vAlign w:val="bottom"/>
          </w:tcPr>
          <w:p>
            <w:pPr>
              <w:spacing w:after="0"/>
              <w:rPr>
                <w:sz w:val="11"/>
                <w:szCs w:val="11"/>
                <w:color w:val="auto"/>
              </w:rPr>
            </w:pPr>
          </w:p>
        </w:tc>
        <w:tc>
          <w:tcPr>
            <w:tcW w:w="2600" w:type="dxa"/>
            <w:vAlign w:val="bottom"/>
          </w:tcPr>
          <w:p>
            <w:pPr>
              <w:ind w:left="120"/>
              <w:spacing w:after="0" w:line="127" w:lineRule="exact"/>
              <w:rPr>
                <w:sz w:val="20"/>
                <w:szCs w:val="20"/>
                <w:color w:val="auto"/>
              </w:rPr>
            </w:pPr>
            <w:r>
              <w:rPr>
                <w:rFonts w:ascii="Arial" w:cs="Arial" w:eastAsia="Arial" w:hAnsi="Arial"/>
                <w:sz w:val="14"/>
                <w:szCs w:val="14"/>
                <w:color w:val="auto"/>
              </w:rPr>
              <w:t>Multiple Probability Weighted Cash</w:t>
            </w:r>
          </w:p>
        </w:tc>
        <w:tc>
          <w:tcPr>
            <w:tcW w:w="2240" w:type="dxa"/>
            <w:vAlign w:val="bottom"/>
          </w:tcPr>
          <w:p>
            <w:pPr>
              <w:ind w:left="160"/>
              <w:spacing w:after="0" w:line="127" w:lineRule="exact"/>
              <w:rPr>
                <w:sz w:val="20"/>
                <w:szCs w:val="20"/>
                <w:color w:val="auto"/>
              </w:rPr>
            </w:pPr>
            <w:r>
              <w:rPr>
                <w:rFonts w:ascii="Arial" w:cs="Arial" w:eastAsia="Arial" w:hAnsi="Arial"/>
                <w:sz w:val="14"/>
                <w:szCs w:val="14"/>
                <w:color w:val="auto"/>
              </w:rPr>
              <w:t>Discount Rate</w:t>
            </w:r>
          </w:p>
        </w:tc>
        <w:tc>
          <w:tcPr>
            <w:tcW w:w="1880" w:type="dxa"/>
            <w:vAlign w:val="bottom"/>
          </w:tcPr>
          <w:p>
            <w:pPr>
              <w:ind w:left="700"/>
              <w:spacing w:after="0" w:line="127" w:lineRule="exact"/>
              <w:rPr>
                <w:sz w:val="20"/>
                <w:szCs w:val="20"/>
                <w:color w:val="auto"/>
              </w:rPr>
            </w:pPr>
            <w:r>
              <w:rPr>
                <w:rFonts w:ascii="Arial" w:cs="Arial" w:eastAsia="Arial" w:hAnsi="Arial"/>
                <w:sz w:val="14"/>
                <w:szCs w:val="14"/>
                <w:color w:val="auto"/>
              </w:rPr>
              <w:t>0% – 25%</w:t>
            </w:r>
          </w:p>
        </w:tc>
        <w:tc>
          <w:tcPr>
            <w:tcW w:w="500" w:type="dxa"/>
            <w:vAlign w:val="bottom"/>
          </w:tcPr>
          <w:p>
            <w:pPr>
              <w:spacing w:after="0"/>
              <w:rPr>
                <w:sz w:val="11"/>
                <w:szCs w:val="11"/>
                <w:color w:val="auto"/>
              </w:rPr>
            </w:pPr>
          </w:p>
        </w:tc>
        <w:tc>
          <w:tcPr>
            <w:tcW w:w="980" w:type="dxa"/>
            <w:vAlign w:val="bottom"/>
          </w:tcPr>
          <w:p>
            <w:pPr>
              <w:jc w:val="center"/>
              <w:ind w:right="50"/>
              <w:spacing w:after="0" w:line="127" w:lineRule="exact"/>
              <w:rPr>
                <w:sz w:val="20"/>
                <w:szCs w:val="20"/>
                <w:color w:val="auto"/>
              </w:rPr>
            </w:pPr>
            <w:r>
              <w:rPr>
                <w:rFonts w:ascii="Arial" w:cs="Arial" w:eastAsia="Arial" w:hAnsi="Arial"/>
                <w:sz w:val="14"/>
                <w:szCs w:val="14"/>
                <w:color w:val="auto"/>
                <w:w w:val="92"/>
              </w:rPr>
              <w:t>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ind w:left="120"/>
              <w:spacing w:after="0"/>
              <w:rPr>
                <w:sz w:val="20"/>
                <w:szCs w:val="20"/>
                <w:color w:val="auto"/>
              </w:rPr>
            </w:pPr>
            <w:r>
              <w:rPr>
                <w:rFonts w:ascii="Arial" w:cs="Arial" w:eastAsia="Arial" w:hAnsi="Arial"/>
                <w:sz w:val="14"/>
                <w:szCs w:val="14"/>
                <w:color w:val="auto"/>
              </w:rPr>
              <w:t>Flow Model</w:t>
            </w:r>
          </w:p>
        </w:tc>
        <w:tc>
          <w:tcPr>
            <w:tcW w:w="2240" w:type="dxa"/>
            <w:vAlign w:val="bottom"/>
          </w:tcPr>
          <w:p>
            <w:pPr>
              <w:ind w:left="160"/>
              <w:spacing w:after="0"/>
              <w:rPr>
                <w:sz w:val="20"/>
                <w:szCs w:val="20"/>
                <w:color w:val="auto"/>
              </w:rPr>
            </w:pPr>
            <w:r>
              <w:rPr>
                <w:rFonts w:ascii="Arial" w:cs="Arial" w:eastAsia="Arial" w:hAnsi="Arial"/>
                <w:sz w:val="14"/>
                <w:szCs w:val="14"/>
                <w:color w:val="auto"/>
              </w:rPr>
              <w:t>Probability Weighting</w:t>
            </w:r>
          </w:p>
        </w:tc>
        <w:tc>
          <w:tcPr>
            <w:tcW w:w="1880" w:type="dxa"/>
            <w:vAlign w:val="bottom"/>
          </w:tcPr>
          <w:p>
            <w:pPr>
              <w:jc w:val="center"/>
              <w:ind w:left="89"/>
              <w:spacing w:after="0"/>
              <w:rPr>
                <w:sz w:val="20"/>
                <w:szCs w:val="20"/>
                <w:color w:val="auto"/>
              </w:rPr>
            </w:pPr>
            <w:r>
              <w:rPr>
                <w:rFonts w:ascii="Arial" w:cs="Arial" w:eastAsia="Arial" w:hAnsi="Arial"/>
                <w:sz w:val="14"/>
                <w:szCs w:val="14"/>
                <w:color w:val="auto"/>
                <w:w w:val="90"/>
              </w:rPr>
              <w:t>10% – 100%</w:t>
            </w:r>
          </w:p>
        </w:tc>
        <w:tc>
          <w:tcPr>
            <w:tcW w:w="500" w:type="dxa"/>
            <w:vAlign w:val="bottom"/>
          </w:tcPr>
          <w:p>
            <w:pPr>
              <w:spacing w:after="0"/>
              <w:rPr>
                <w:sz w:val="14"/>
                <w:szCs w:val="14"/>
                <w:color w:val="auto"/>
              </w:rPr>
            </w:pPr>
          </w:p>
        </w:tc>
        <w:tc>
          <w:tcPr>
            <w:tcW w:w="980" w:type="dxa"/>
            <w:vAlign w:val="bottom"/>
          </w:tcPr>
          <w:p>
            <w:pPr>
              <w:jc w:val="center"/>
              <w:ind w:right="50"/>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300"/>
              <w:spacing w:after="0" w:line="159" w:lineRule="exact"/>
              <w:rPr>
                <w:sz w:val="20"/>
                <w:szCs w:val="20"/>
                <w:color w:val="auto"/>
              </w:rPr>
            </w:pPr>
            <w:r>
              <w:rPr>
                <w:rFonts w:ascii="Arial" w:cs="Arial" w:eastAsia="Arial" w:hAnsi="Arial"/>
                <w:sz w:val="14"/>
                <w:szCs w:val="14"/>
                <w:color w:val="auto"/>
              </w:rPr>
              <w:t>Equity investments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1,289</w:t>
            </w:r>
          </w:p>
        </w:tc>
        <w:tc>
          <w:tcPr>
            <w:tcW w:w="2600" w:type="dxa"/>
            <w:vAlign w:val="bottom"/>
          </w:tcPr>
          <w:p>
            <w:pPr>
              <w:ind w:left="120"/>
              <w:spacing w:after="0" w:line="159" w:lineRule="exact"/>
              <w:rPr>
                <w:sz w:val="20"/>
                <w:szCs w:val="20"/>
                <w:color w:val="auto"/>
              </w:rPr>
            </w:pPr>
            <w:r>
              <w:rPr>
                <w:rFonts w:ascii="Arial" w:cs="Arial" w:eastAsia="Arial" w:hAnsi="Arial"/>
                <w:sz w:val="14"/>
                <w:szCs w:val="14"/>
                <w:color w:val="auto"/>
              </w:rPr>
              <w:t>Last Equity Financing</w:t>
            </w:r>
          </w:p>
        </w:tc>
        <w:tc>
          <w:tcPr>
            <w:tcW w:w="2240" w:type="dxa"/>
            <w:vAlign w:val="bottom"/>
          </w:tcPr>
          <w:p>
            <w:pPr>
              <w:ind w:left="160"/>
              <w:spacing w:after="0" w:line="159" w:lineRule="exact"/>
              <w:rPr>
                <w:sz w:val="20"/>
                <w:szCs w:val="20"/>
                <w:color w:val="auto"/>
              </w:rPr>
            </w:pPr>
            <w:r>
              <w:rPr>
                <w:rFonts w:ascii="Arial" w:cs="Arial" w:eastAsia="Arial" w:hAnsi="Arial"/>
                <w:sz w:val="14"/>
                <w:szCs w:val="14"/>
                <w:color w:val="auto"/>
              </w:rPr>
              <w:t>Price Per Share</w:t>
            </w:r>
          </w:p>
        </w:tc>
        <w:tc>
          <w:tcPr>
            <w:tcW w:w="1880" w:type="dxa"/>
            <w:vAlign w:val="bottom"/>
          </w:tcPr>
          <w:p>
            <w:pPr>
              <w:jc w:val="center"/>
              <w:ind w:left="69"/>
              <w:spacing w:after="0" w:line="159" w:lineRule="exact"/>
              <w:rPr>
                <w:sz w:val="20"/>
                <w:szCs w:val="20"/>
                <w:color w:val="auto"/>
              </w:rPr>
            </w:pPr>
            <w:r>
              <w:rPr>
                <w:rFonts w:ascii="Arial" w:cs="Arial" w:eastAsia="Arial" w:hAnsi="Arial"/>
                <w:sz w:val="14"/>
                <w:szCs w:val="14"/>
                <w:color w:val="auto"/>
                <w:w w:val="91"/>
              </w:rPr>
              <w:t>$0.00 – $2.24</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tcPr>
          <w:p>
            <w:pPr>
              <w:jc w:val="center"/>
              <w:ind w:right="70"/>
              <w:spacing w:after="0" w:line="159" w:lineRule="exact"/>
              <w:rPr>
                <w:sz w:val="20"/>
                <w:szCs w:val="20"/>
                <w:color w:val="auto"/>
              </w:rPr>
            </w:pPr>
            <w:r>
              <w:rPr>
                <w:rFonts w:ascii="Arial" w:cs="Arial" w:eastAsia="Arial" w:hAnsi="Arial"/>
                <w:sz w:val="14"/>
                <w:szCs w:val="14"/>
                <w:color w:val="auto"/>
                <w:w w:val="87"/>
              </w:rPr>
              <w:t>0.80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40" w:type="dxa"/>
            <w:vAlign w:val="bottom"/>
            <w:tcBorders>
              <w:top w:val="single" w:sz="8" w:color="CCEEFF"/>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Total Level 3 investments</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233,962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600" w:type="dxa"/>
            <w:vAlign w:val="bottom"/>
            <w:tcBorders>
              <w:top w:val="single" w:sz="8" w:color="CCEEFF"/>
              <w:bottom w:val="single" w:sz="8" w:color="CCEEFF"/>
            </w:tcBorders>
            <w:shd w:val="clear" w:color="auto" w:fill="CCEEFF"/>
          </w:tcPr>
          <w:p>
            <w:pPr>
              <w:spacing w:after="0"/>
              <w:rPr>
                <w:sz w:val="13"/>
                <w:szCs w:val="13"/>
                <w:color w:val="auto"/>
              </w:rPr>
            </w:pPr>
          </w:p>
        </w:tc>
        <w:tc>
          <w:tcPr>
            <w:tcW w:w="2240" w:type="dxa"/>
            <w:vAlign w:val="bottom"/>
            <w:tcBorders>
              <w:top w:val="single" w:sz="8" w:color="CCEEFF"/>
              <w:bottom w:val="single" w:sz="8" w:color="CCEEFF"/>
            </w:tcBorders>
            <w:shd w:val="clear" w:color="auto" w:fill="CCEEFF"/>
          </w:tcPr>
          <w:p>
            <w:pPr>
              <w:spacing w:after="0"/>
              <w:rPr>
                <w:sz w:val="13"/>
                <w:szCs w:val="13"/>
                <w:color w:val="auto"/>
              </w:rPr>
            </w:pPr>
          </w:p>
        </w:tc>
        <w:tc>
          <w:tcPr>
            <w:tcW w:w="1880" w:type="dxa"/>
            <w:vAlign w:val="bottom"/>
            <w:tcBorders>
              <w:top w:val="single" w:sz="8" w:color="CCEEFF"/>
              <w:bottom w:val="single" w:sz="8" w:color="CCEEFF"/>
            </w:tcBorders>
            <w:shd w:val="clear" w:color="auto" w:fill="CCEEFF"/>
          </w:tcPr>
          <w:p>
            <w:pPr>
              <w:spacing w:after="0"/>
              <w:rPr>
                <w:sz w:val="13"/>
                <w:szCs w:val="13"/>
                <w:color w:val="auto"/>
              </w:rPr>
            </w:pPr>
          </w:p>
        </w:tc>
        <w:tc>
          <w:tcPr>
            <w:tcW w:w="50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8103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spacing w:after="0" w:line="206" w:lineRule="exact"/>
        <w:rPr>
          <w:sz w:val="20"/>
          <w:szCs w:val="20"/>
          <w:color w:val="auto"/>
        </w:rPr>
      </w:pPr>
    </w:p>
    <w:p>
      <w:pPr>
        <w:ind w:left="320" w:hanging="314"/>
        <w:spacing w:after="0" w:line="265"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pacing w:after="0" w:line="179" w:lineRule="exact"/>
        <w:rPr>
          <w:sz w:val="20"/>
          <w:szCs w:val="20"/>
          <w:color w:val="auto"/>
        </w:rPr>
      </w:pPr>
    </w:p>
    <w:p>
      <w:pPr>
        <w:ind w:right="120" w:firstLine="318"/>
        <w:spacing w:after="0" w:line="265"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December 31, 2017:</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Fair</w:t>
            </w:r>
          </w:p>
        </w:tc>
        <w:tc>
          <w:tcPr>
            <w:tcW w:w="2700" w:type="dxa"/>
            <w:vAlign w:val="bottom"/>
            <w:tcBorders>
              <w:top w:val="single" w:sz="8" w:color="auto"/>
            </w:tcBorders>
          </w:tcPr>
          <w:p>
            <w:pPr>
              <w:ind w:left="820"/>
              <w:spacing w:after="0" w:line="129" w:lineRule="exact"/>
              <w:rPr>
                <w:sz w:val="20"/>
                <w:szCs w:val="20"/>
                <w:color w:val="auto"/>
              </w:rPr>
            </w:pPr>
            <w:r>
              <w:rPr>
                <w:rFonts w:ascii="Arial" w:cs="Arial" w:eastAsia="Arial" w:hAnsi="Arial"/>
                <w:sz w:val="14"/>
                <w:szCs w:val="14"/>
                <w:b w:val="1"/>
                <w:bCs w:val="1"/>
                <w:color w:val="auto"/>
              </w:rPr>
              <w:t>Valuation Techniques/</w:t>
            </w:r>
          </w:p>
        </w:tc>
        <w:tc>
          <w:tcPr>
            <w:tcW w:w="2260" w:type="dxa"/>
            <w:vAlign w:val="bottom"/>
            <w:tcBorders>
              <w:top w:val="single" w:sz="8" w:color="auto"/>
            </w:tcBorders>
          </w:tcPr>
          <w:p>
            <w:pPr>
              <w:ind w:left="660"/>
              <w:spacing w:after="0" w:line="129" w:lineRule="exact"/>
              <w:rPr>
                <w:sz w:val="20"/>
                <w:szCs w:val="20"/>
                <w:color w:val="auto"/>
              </w:rPr>
            </w:pPr>
            <w:r>
              <w:rPr>
                <w:rFonts w:ascii="Arial" w:cs="Arial" w:eastAsia="Arial" w:hAnsi="Arial"/>
                <w:sz w:val="14"/>
                <w:szCs w:val="14"/>
                <w:b w:val="1"/>
                <w:bCs w:val="1"/>
                <w:color w:val="auto"/>
              </w:rPr>
              <w:t>Unobservable</w:t>
            </w:r>
          </w:p>
        </w:tc>
        <w:tc>
          <w:tcPr>
            <w:tcW w:w="18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70"/>
              <w:spacing w:after="0" w:line="12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96"/>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Investment Type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2700" w:type="dxa"/>
            <w:vAlign w:val="bottom"/>
          </w:tcPr>
          <w:p>
            <w:pPr>
              <w:ind w:left="1040"/>
              <w:spacing w:after="0"/>
              <w:rPr>
                <w:sz w:val="20"/>
                <w:szCs w:val="20"/>
                <w:color w:val="auto"/>
              </w:rPr>
            </w:pPr>
            <w:r>
              <w:rPr>
                <w:rFonts w:ascii="Arial" w:cs="Arial" w:eastAsia="Arial" w:hAnsi="Arial"/>
                <w:sz w:val="14"/>
                <w:szCs w:val="14"/>
                <w:b w:val="1"/>
                <w:bCs w:val="1"/>
                <w:color w:val="auto"/>
              </w:rPr>
              <w:t>Methodologies</w:t>
            </w:r>
          </w:p>
        </w:tc>
        <w:tc>
          <w:tcPr>
            <w:tcW w:w="2260" w:type="dxa"/>
            <w:vAlign w:val="bottom"/>
          </w:tcPr>
          <w:p>
            <w:pPr>
              <w:ind w:left="920"/>
              <w:spacing w:after="0"/>
              <w:rPr>
                <w:sz w:val="20"/>
                <w:szCs w:val="20"/>
                <w:color w:val="auto"/>
              </w:rPr>
            </w:pPr>
            <w:r>
              <w:rPr>
                <w:rFonts w:ascii="Arial" w:cs="Arial" w:eastAsia="Arial" w:hAnsi="Arial"/>
                <w:sz w:val="14"/>
                <w:szCs w:val="14"/>
                <w:b w:val="1"/>
                <w:bCs w:val="1"/>
                <w:color w:val="auto"/>
              </w:rPr>
              <w:t>Input</w:t>
            </w:r>
          </w:p>
        </w:tc>
        <w:tc>
          <w:tcPr>
            <w:tcW w:w="1840" w:type="dxa"/>
            <w:vAlign w:val="bottom"/>
          </w:tcPr>
          <w:p>
            <w:pPr>
              <w:ind w:left="740"/>
              <w:spacing w:after="0"/>
              <w:rPr>
                <w:sz w:val="20"/>
                <w:szCs w:val="20"/>
                <w:color w:val="auto"/>
              </w:rPr>
            </w:pPr>
            <w:r>
              <w:rPr>
                <w:rFonts w:ascii="Arial" w:cs="Arial" w:eastAsia="Arial" w:hAnsi="Arial"/>
                <w:sz w:val="14"/>
                <w:szCs w:val="14"/>
                <w:b w:val="1"/>
                <w:bCs w:val="1"/>
                <w:color w:val="auto"/>
              </w:rPr>
              <w:t>Range</w:t>
            </w:r>
          </w:p>
        </w:tc>
        <w:tc>
          <w:tcPr>
            <w:tcW w:w="520" w:type="dxa"/>
            <w:vAlign w:val="bottom"/>
          </w:tcPr>
          <w:p>
            <w:pPr>
              <w:spacing w:after="0"/>
              <w:rPr>
                <w:sz w:val="17"/>
                <w:szCs w:val="17"/>
                <w:color w:val="auto"/>
              </w:rPr>
            </w:pPr>
          </w:p>
        </w:tc>
        <w:tc>
          <w:tcPr>
            <w:tcW w:w="980" w:type="dxa"/>
            <w:vAlign w:val="bottom"/>
          </w:tcPr>
          <w:p>
            <w:pPr>
              <w:jc w:val="center"/>
              <w:ind w:right="170"/>
              <w:spacing w:after="0" w:line="197" w:lineRule="exact"/>
              <w:rPr>
                <w:sz w:val="20"/>
                <w:szCs w:val="20"/>
                <w:color w:val="auto"/>
              </w:rPr>
            </w:pPr>
            <w:r>
              <w:rPr>
                <w:rFonts w:ascii="Arial" w:cs="Arial" w:eastAsia="Arial" w:hAnsi="Arial"/>
                <w:sz w:val="14"/>
                <w:szCs w:val="14"/>
                <w:b w:val="1"/>
                <w:bCs w:val="1"/>
                <w:color w:val="auto"/>
                <w:w w:val="84"/>
              </w:rPr>
              <w:t>Average</w:t>
            </w:r>
            <w:r>
              <w:rPr>
                <w:rFonts w:ascii="Arial" w:cs="Arial" w:eastAsia="Arial" w:hAnsi="Arial"/>
                <w:sz w:val="22"/>
                <w:szCs w:val="22"/>
                <w:b w:val="1"/>
                <w:bCs w:val="1"/>
                <w:color w:val="auto"/>
                <w:w w:val="84"/>
                <w:vertAlign w:val="superscript"/>
              </w:rPr>
              <w:t>(1)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960" w:type="dxa"/>
            <w:vAlign w:val="bottom"/>
            <w:tcBorders>
              <w:top w:val="single" w:sz="8" w:color="auto"/>
            </w:tcBorders>
            <w:gridSpan w:val="2"/>
          </w:tcPr>
          <w:p>
            <w:pPr>
              <w:ind w:left="1240"/>
              <w:spacing w:after="0" w:line="139" w:lineRule="exact"/>
              <w:rPr>
                <w:sz w:val="20"/>
                <w:szCs w:val="20"/>
                <w:color w:val="auto"/>
              </w:rPr>
            </w:pPr>
            <w:r>
              <w:rPr>
                <w:rFonts w:ascii="Arial" w:cs="Arial" w:eastAsia="Arial" w:hAnsi="Arial"/>
                <w:sz w:val="14"/>
                <w:szCs w:val="14"/>
                <w:b w:val="1"/>
                <w:bCs w:val="1"/>
                <w:color w:val="auto"/>
              </w:rPr>
              <w:t>(Dollars in thousands, except per share data)</w:t>
            </w:r>
          </w:p>
        </w:tc>
        <w:tc>
          <w:tcPr>
            <w:tcW w:w="18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Debt investments</w:t>
            </w:r>
          </w:p>
        </w:tc>
        <w:tc>
          <w:tcPr>
            <w:tcW w:w="240" w:type="dxa"/>
            <w:vAlign w:val="bottom"/>
            <w:gridSpan w:val="3"/>
            <w:shd w:val="clear" w:color="auto" w:fill="CCEEFF"/>
          </w:tcPr>
          <w:p>
            <w:pPr>
              <w:jc w:val="right"/>
              <w:ind w:right="35"/>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
              <w:spacing w:after="0" w:line="146" w:lineRule="exact"/>
              <w:rPr>
                <w:sz w:val="20"/>
                <w:szCs w:val="20"/>
                <w:color w:val="auto"/>
              </w:rPr>
            </w:pPr>
            <w:r>
              <w:rPr>
                <w:rFonts w:ascii="Arial" w:cs="Arial" w:eastAsia="Arial" w:hAnsi="Arial"/>
                <w:sz w:val="14"/>
                <w:szCs w:val="14"/>
                <w:color w:val="auto"/>
              </w:rPr>
              <w:t>200,893</w:t>
            </w:r>
          </w:p>
        </w:tc>
        <w:tc>
          <w:tcPr>
            <w:tcW w:w="2700" w:type="dxa"/>
            <w:vAlign w:val="bottom"/>
            <w:shd w:val="clear" w:color="auto" w:fill="CCEEFF"/>
          </w:tcPr>
          <w:p>
            <w:pPr>
              <w:ind w:left="220"/>
              <w:spacing w:after="0" w:line="146" w:lineRule="exact"/>
              <w:rPr>
                <w:sz w:val="20"/>
                <w:szCs w:val="20"/>
                <w:color w:val="auto"/>
              </w:rPr>
            </w:pPr>
            <w:r>
              <w:rPr>
                <w:rFonts w:ascii="Arial" w:cs="Arial" w:eastAsia="Arial" w:hAnsi="Arial"/>
                <w:sz w:val="14"/>
                <w:szCs w:val="14"/>
                <w:color w:val="auto"/>
                <w:w w:val="96"/>
              </w:rPr>
              <w:t>Discounted Expected Future Cash Flows</w:t>
            </w:r>
          </w:p>
        </w:tc>
        <w:tc>
          <w:tcPr>
            <w:tcW w:w="2260" w:type="dxa"/>
            <w:vAlign w:val="bottom"/>
            <w:shd w:val="clear" w:color="auto" w:fill="CCEEFF"/>
          </w:tcPr>
          <w:p>
            <w:pPr>
              <w:ind w:left="160"/>
              <w:spacing w:after="0" w:line="146" w:lineRule="exact"/>
              <w:rPr>
                <w:sz w:val="20"/>
                <w:szCs w:val="20"/>
                <w:color w:val="auto"/>
              </w:rPr>
            </w:pPr>
            <w:r>
              <w:rPr>
                <w:rFonts w:ascii="Arial" w:cs="Arial" w:eastAsia="Arial" w:hAnsi="Arial"/>
                <w:sz w:val="14"/>
                <w:szCs w:val="14"/>
                <w:color w:val="auto"/>
              </w:rPr>
              <w:t>Hypothetical Market Yield</w:t>
            </w:r>
          </w:p>
        </w:tc>
        <w:tc>
          <w:tcPr>
            <w:tcW w:w="1840" w:type="dxa"/>
            <w:vAlign w:val="bottom"/>
            <w:shd w:val="clear" w:color="auto" w:fill="CCEEFF"/>
          </w:tcPr>
          <w:p>
            <w:pPr>
              <w:jc w:val="center"/>
              <w:ind w:left="69"/>
              <w:spacing w:after="0" w:line="146" w:lineRule="exact"/>
              <w:rPr>
                <w:sz w:val="20"/>
                <w:szCs w:val="20"/>
                <w:color w:val="auto"/>
              </w:rPr>
            </w:pPr>
            <w:r>
              <w:rPr>
                <w:rFonts w:ascii="Arial" w:cs="Arial" w:eastAsia="Arial" w:hAnsi="Arial"/>
                <w:sz w:val="14"/>
                <w:szCs w:val="14"/>
                <w:color w:val="auto"/>
                <w:w w:val="92"/>
              </w:rPr>
              <w:t>10% – 25%</w:t>
            </w:r>
          </w:p>
        </w:tc>
        <w:tc>
          <w:tcPr>
            <w:tcW w:w="52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right="50"/>
              <w:spacing w:after="0" w:line="146" w:lineRule="exact"/>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2,900</w:t>
            </w:r>
          </w:p>
        </w:tc>
        <w:tc>
          <w:tcPr>
            <w:tcW w:w="2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Liquidation Scenario</w:t>
            </w:r>
          </w:p>
        </w:tc>
        <w:tc>
          <w:tcPr>
            <w:tcW w:w="2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Discount Rate</w:t>
            </w:r>
          </w:p>
        </w:tc>
        <w:tc>
          <w:tcPr>
            <w:tcW w:w="184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2"/>
              </w:rPr>
              <w:t>18%</w:t>
            </w: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2260" w:type="dxa"/>
            <w:vAlign w:val="bottom"/>
            <w:shd w:val="clear" w:color="auto" w:fill="CCEEFF"/>
          </w:tcPr>
          <w:p>
            <w:pPr>
              <w:ind w:left="160"/>
              <w:spacing w:after="0" w:line="146" w:lineRule="exact"/>
              <w:rPr>
                <w:sz w:val="20"/>
                <w:szCs w:val="20"/>
                <w:color w:val="auto"/>
              </w:rPr>
            </w:pPr>
            <w:r>
              <w:rPr>
                <w:rFonts w:ascii="Arial" w:cs="Arial" w:eastAsia="Arial" w:hAnsi="Arial"/>
                <w:sz w:val="14"/>
                <w:szCs w:val="14"/>
                <w:color w:val="auto"/>
              </w:rPr>
              <w:t>Marketability Discount</w:t>
            </w:r>
          </w:p>
        </w:tc>
        <w:tc>
          <w:tcPr>
            <w:tcW w:w="1840" w:type="dxa"/>
            <w:vAlign w:val="bottom"/>
            <w:shd w:val="clear" w:color="auto" w:fill="CCEEFF"/>
          </w:tcPr>
          <w:p>
            <w:pPr>
              <w:jc w:val="center"/>
              <w:ind w:left="69"/>
              <w:spacing w:after="0" w:line="146" w:lineRule="exact"/>
              <w:rPr>
                <w:sz w:val="20"/>
                <w:szCs w:val="20"/>
                <w:color w:val="auto"/>
              </w:rPr>
            </w:pPr>
            <w:r>
              <w:rPr>
                <w:rFonts w:ascii="Arial" w:cs="Arial" w:eastAsia="Arial" w:hAnsi="Arial"/>
                <w:sz w:val="14"/>
                <w:szCs w:val="14"/>
                <w:color w:val="auto"/>
                <w:w w:val="92"/>
              </w:rPr>
              <w:t>20%</w:t>
            </w:r>
          </w:p>
        </w:tc>
        <w:tc>
          <w:tcPr>
            <w:tcW w:w="52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right="50"/>
              <w:spacing w:after="0" w:line="146" w:lineRule="exact"/>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Uncertainty Discount</w:t>
            </w:r>
          </w:p>
        </w:tc>
        <w:tc>
          <w:tcPr>
            <w:tcW w:w="184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2"/>
              </w:rPr>
              <w:t>20%</w:t>
            </w:r>
          </w:p>
        </w:tc>
        <w:tc>
          <w:tcPr>
            <w:tcW w:w="52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940" w:type="dxa"/>
            <w:vAlign w:val="bottom"/>
          </w:tcPr>
          <w:p>
            <w:pPr>
              <w:spacing w:after="0" w:line="127" w:lineRule="exact"/>
              <w:rPr>
                <w:sz w:val="20"/>
                <w:szCs w:val="20"/>
                <w:color w:val="auto"/>
              </w:rPr>
            </w:pPr>
            <w:r>
              <w:rPr>
                <w:rFonts w:ascii="Arial" w:cs="Arial" w:eastAsia="Arial" w:hAnsi="Arial"/>
                <w:sz w:val="14"/>
                <w:szCs w:val="14"/>
                <w:color w:val="auto"/>
              </w:rPr>
              <w:t>Warrant investments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0"/>
              <w:spacing w:after="0" w:line="127" w:lineRule="exact"/>
              <w:rPr>
                <w:sz w:val="20"/>
                <w:szCs w:val="20"/>
                <w:color w:val="auto"/>
              </w:rPr>
            </w:pPr>
            <w:r>
              <w:rPr>
                <w:rFonts w:ascii="Arial" w:cs="Arial" w:eastAsia="Arial" w:hAnsi="Arial"/>
                <w:sz w:val="14"/>
                <w:szCs w:val="14"/>
                <w:color w:val="auto"/>
              </w:rPr>
              <w:t>7,371</w:t>
            </w:r>
          </w:p>
        </w:tc>
        <w:tc>
          <w:tcPr>
            <w:tcW w:w="2700" w:type="dxa"/>
            <w:vAlign w:val="bottom"/>
          </w:tcPr>
          <w:p>
            <w:pPr>
              <w:ind w:left="220"/>
              <w:spacing w:after="0" w:line="127" w:lineRule="exact"/>
              <w:rPr>
                <w:sz w:val="20"/>
                <w:szCs w:val="20"/>
                <w:color w:val="auto"/>
              </w:rPr>
            </w:pPr>
            <w:r>
              <w:rPr>
                <w:rFonts w:ascii="Arial" w:cs="Arial" w:eastAsia="Arial" w:hAnsi="Arial"/>
                <w:sz w:val="14"/>
                <w:szCs w:val="14"/>
                <w:color w:val="auto"/>
              </w:rPr>
              <w:t>Black-Scholes Valuation Model</w:t>
            </w:r>
          </w:p>
        </w:tc>
        <w:tc>
          <w:tcPr>
            <w:tcW w:w="2260" w:type="dxa"/>
            <w:vAlign w:val="bottom"/>
          </w:tcPr>
          <w:p>
            <w:pPr>
              <w:ind w:left="160"/>
              <w:spacing w:after="0" w:line="127" w:lineRule="exact"/>
              <w:rPr>
                <w:sz w:val="20"/>
                <w:szCs w:val="20"/>
                <w:color w:val="auto"/>
              </w:rPr>
            </w:pPr>
            <w:r>
              <w:rPr>
                <w:rFonts w:ascii="Arial" w:cs="Arial" w:eastAsia="Arial" w:hAnsi="Arial"/>
                <w:sz w:val="14"/>
                <w:szCs w:val="14"/>
                <w:color w:val="auto"/>
              </w:rPr>
              <w:t>Price Per Share</w:t>
            </w:r>
          </w:p>
        </w:tc>
        <w:tc>
          <w:tcPr>
            <w:tcW w:w="1840" w:type="dxa"/>
            <w:vAlign w:val="bottom"/>
          </w:tcPr>
          <w:p>
            <w:pPr>
              <w:jc w:val="center"/>
              <w:ind w:left="89"/>
              <w:spacing w:after="0" w:line="127" w:lineRule="exact"/>
              <w:rPr>
                <w:sz w:val="20"/>
                <w:szCs w:val="20"/>
                <w:color w:val="auto"/>
              </w:rPr>
            </w:pPr>
            <w:r>
              <w:rPr>
                <w:rFonts w:ascii="Arial" w:cs="Arial" w:eastAsia="Arial" w:hAnsi="Arial"/>
                <w:sz w:val="14"/>
                <w:szCs w:val="14"/>
                <w:color w:val="auto"/>
                <w:w w:val="89"/>
              </w:rPr>
              <w:t>$0.00 – $22.38</w:t>
            </w:r>
          </w:p>
        </w:tc>
        <w:tc>
          <w:tcPr>
            <w:tcW w:w="520" w:type="dxa"/>
            <w:vAlign w:val="bottom"/>
          </w:tcPr>
          <w:p>
            <w:pPr>
              <w:spacing w:after="0"/>
              <w:rPr>
                <w:sz w:val="11"/>
                <w:szCs w:val="11"/>
                <w:color w:val="auto"/>
              </w:rPr>
            </w:pPr>
          </w:p>
        </w:tc>
        <w:tc>
          <w:tcPr>
            <w:tcW w:w="980" w:type="dxa"/>
            <w:vAlign w:val="bottom"/>
          </w:tcPr>
          <w:p>
            <w:pPr>
              <w:jc w:val="center"/>
              <w:ind w:right="70"/>
              <w:spacing w:after="0" w:line="127" w:lineRule="exact"/>
              <w:rPr>
                <w:sz w:val="20"/>
                <w:szCs w:val="20"/>
                <w:color w:val="auto"/>
              </w:rPr>
            </w:pPr>
            <w:r>
              <w:rPr>
                <w:rFonts w:ascii="Arial" w:cs="Arial" w:eastAsia="Arial" w:hAnsi="Arial"/>
                <w:sz w:val="14"/>
                <w:szCs w:val="14"/>
                <w:color w:val="auto"/>
                <w:w w:val="91"/>
              </w:rPr>
              <w:t>$3.69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60" w:type="dxa"/>
            <w:vAlign w:val="bottom"/>
          </w:tcPr>
          <w:p>
            <w:pPr>
              <w:ind w:left="160"/>
              <w:spacing w:after="0" w:line="146" w:lineRule="exact"/>
              <w:rPr>
                <w:sz w:val="20"/>
                <w:szCs w:val="20"/>
                <w:color w:val="auto"/>
              </w:rPr>
            </w:pPr>
            <w:r>
              <w:rPr>
                <w:rFonts w:ascii="Arial" w:cs="Arial" w:eastAsia="Arial" w:hAnsi="Arial"/>
                <w:sz w:val="14"/>
                <w:szCs w:val="14"/>
                <w:color w:val="auto"/>
              </w:rPr>
              <w:t>Average Industry Volatility</w:t>
            </w:r>
          </w:p>
        </w:tc>
        <w:tc>
          <w:tcPr>
            <w:tcW w:w="1840" w:type="dxa"/>
            <w:vAlign w:val="bottom"/>
          </w:tcPr>
          <w:p>
            <w:pPr>
              <w:jc w:val="center"/>
              <w:ind w:left="69"/>
              <w:spacing w:after="0" w:line="146" w:lineRule="exact"/>
              <w:rPr>
                <w:sz w:val="20"/>
                <w:szCs w:val="20"/>
                <w:color w:val="auto"/>
              </w:rPr>
            </w:pPr>
            <w:r>
              <w:rPr>
                <w:rFonts w:ascii="Arial" w:cs="Arial" w:eastAsia="Arial" w:hAnsi="Arial"/>
                <w:sz w:val="14"/>
                <w:szCs w:val="14"/>
                <w:color w:val="auto"/>
                <w:w w:val="92"/>
              </w:rPr>
              <w:t>20%</w:t>
            </w:r>
          </w:p>
        </w:tc>
        <w:tc>
          <w:tcPr>
            <w:tcW w:w="520" w:type="dxa"/>
            <w:vAlign w:val="bottom"/>
          </w:tcPr>
          <w:p>
            <w:pPr>
              <w:spacing w:after="0"/>
              <w:rPr>
                <w:sz w:val="12"/>
                <w:szCs w:val="12"/>
                <w:color w:val="auto"/>
              </w:rPr>
            </w:pPr>
          </w:p>
        </w:tc>
        <w:tc>
          <w:tcPr>
            <w:tcW w:w="980" w:type="dxa"/>
            <w:vAlign w:val="bottom"/>
          </w:tcPr>
          <w:p>
            <w:pPr>
              <w:jc w:val="center"/>
              <w:ind w:right="50"/>
              <w:spacing w:after="0" w:line="146" w:lineRule="exact"/>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60" w:type="dxa"/>
            <w:vAlign w:val="bottom"/>
          </w:tcPr>
          <w:p>
            <w:pPr>
              <w:ind w:left="160"/>
              <w:spacing w:after="0" w:line="146" w:lineRule="exact"/>
              <w:rPr>
                <w:sz w:val="20"/>
                <w:szCs w:val="20"/>
                <w:color w:val="auto"/>
              </w:rPr>
            </w:pPr>
            <w:r>
              <w:rPr>
                <w:rFonts w:ascii="Arial" w:cs="Arial" w:eastAsia="Arial" w:hAnsi="Arial"/>
                <w:sz w:val="14"/>
                <w:szCs w:val="14"/>
                <w:color w:val="auto"/>
              </w:rPr>
              <w:t>Marketability Discount</w:t>
            </w:r>
          </w:p>
        </w:tc>
        <w:tc>
          <w:tcPr>
            <w:tcW w:w="1840" w:type="dxa"/>
            <w:vAlign w:val="bottom"/>
          </w:tcPr>
          <w:p>
            <w:pPr>
              <w:jc w:val="center"/>
              <w:ind w:left="69"/>
              <w:spacing w:after="0" w:line="146" w:lineRule="exact"/>
              <w:rPr>
                <w:sz w:val="20"/>
                <w:szCs w:val="20"/>
                <w:color w:val="auto"/>
              </w:rPr>
            </w:pPr>
            <w:r>
              <w:rPr>
                <w:rFonts w:ascii="Arial" w:cs="Arial" w:eastAsia="Arial" w:hAnsi="Arial"/>
                <w:sz w:val="14"/>
                <w:szCs w:val="14"/>
                <w:color w:val="auto"/>
                <w:w w:val="92"/>
              </w:rPr>
              <w:t>20%</w:t>
            </w:r>
          </w:p>
        </w:tc>
        <w:tc>
          <w:tcPr>
            <w:tcW w:w="520" w:type="dxa"/>
            <w:vAlign w:val="bottom"/>
          </w:tcPr>
          <w:p>
            <w:pPr>
              <w:spacing w:after="0"/>
              <w:rPr>
                <w:sz w:val="12"/>
                <w:szCs w:val="12"/>
                <w:color w:val="auto"/>
              </w:rPr>
            </w:pPr>
          </w:p>
        </w:tc>
        <w:tc>
          <w:tcPr>
            <w:tcW w:w="980" w:type="dxa"/>
            <w:vAlign w:val="bottom"/>
          </w:tcPr>
          <w:p>
            <w:pPr>
              <w:jc w:val="center"/>
              <w:ind w:right="50"/>
              <w:spacing w:after="0" w:line="146" w:lineRule="exact"/>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60" w:type="dxa"/>
            <w:vAlign w:val="bottom"/>
          </w:tcPr>
          <w:p>
            <w:pPr>
              <w:ind w:left="160"/>
              <w:spacing w:after="0" w:line="146" w:lineRule="exact"/>
              <w:rPr>
                <w:sz w:val="20"/>
                <w:szCs w:val="20"/>
                <w:color w:val="auto"/>
              </w:rPr>
            </w:pPr>
            <w:r>
              <w:rPr>
                <w:rFonts w:ascii="Arial" w:cs="Arial" w:eastAsia="Arial" w:hAnsi="Arial"/>
                <w:sz w:val="14"/>
                <w:szCs w:val="14"/>
                <w:color w:val="auto"/>
              </w:rPr>
              <w:t>Estimated Time to Exit</w:t>
            </w:r>
          </w:p>
        </w:tc>
        <w:tc>
          <w:tcPr>
            <w:tcW w:w="1840" w:type="dxa"/>
            <w:vAlign w:val="bottom"/>
          </w:tcPr>
          <w:p>
            <w:pPr>
              <w:ind w:left="660"/>
              <w:spacing w:after="0" w:line="146" w:lineRule="exact"/>
              <w:rPr>
                <w:sz w:val="20"/>
                <w:szCs w:val="20"/>
                <w:color w:val="auto"/>
              </w:rPr>
            </w:pPr>
            <w:r>
              <w:rPr>
                <w:rFonts w:ascii="Arial" w:cs="Arial" w:eastAsia="Arial" w:hAnsi="Arial"/>
                <w:sz w:val="14"/>
                <w:szCs w:val="14"/>
                <w:color w:val="auto"/>
              </w:rPr>
              <w:t>1 to 5 years</w:t>
            </w:r>
          </w:p>
        </w:tc>
        <w:tc>
          <w:tcPr>
            <w:tcW w:w="520" w:type="dxa"/>
            <w:vAlign w:val="bottom"/>
          </w:tcPr>
          <w:p>
            <w:pPr>
              <w:spacing w:after="0"/>
              <w:rPr>
                <w:sz w:val="12"/>
                <w:szCs w:val="12"/>
                <w:color w:val="auto"/>
              </w:rPr>
            </w:pPr>
          </w:p>
        </w:tc>
        <w:tc>
          <w:tcPr>
            <w:tcW w:w="980" w:type="dxa"/>
            <w:vAlign w:val="bottom"/>
          </w:tcPr>
          <w:p>
            <w:pPr>
              <w:ind w:left="220"/>
              <w:spacing w:after="0" w:line="146" w:lineRule="exact"/>
              <w:rPr>
                <w:sz w:val="20"/>
                <w:szCs w:val="20"/>
                <w:color w:val="auto"/>
              </w:rPr>
            </w:pPr>
            <w:r>
              <w:rPr>
                <w:rFonts w:ascii="Arial" w:cs="Arial" w:eastAsia="Arial" w:hAnsi="Arial"/>
                <w:sz w:val="14"/>
                <w:szCs w:val="14"/>
                <w:color w:val="auto"/>
              </w:rPr>
              <w:t>3 years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2700" w:type="dxa"/>
            <w:vAlign w:val="bottom"/>
          </w:tcPr>
          <w:p>
            <w:pPr>
              <w:ind w:left="220"/>
              <w:spacing w:after="0"/>
              <w:rPr>
                <w:sz w:val="20"/>
                <w:szCs w:val="20"/>
                <w:color w:val="auto"/>
              </w:rPr>
            </w:pPr>
            <w:r>
              <w:rPr>
                <w:rFonts w:ascii="Arial" w:cs="Arial" w:eastAsia="Arial" w:hAnsi="Arial"/>
                <w:sz w:val="14"/>
                <w:szCs w:val="14"/>
                <w:color w:val="auto"/>
              </w:rPr>
              <w:t>Expected Proceeds</w:t>
            </w:r>
          </w:p>
        </w:tc>
        <w:tc>
          <w:tcPr>
            <w:tcW w:w="2260" w:type="dxa"/>
            <w:vAlign w:val="bottom"/>
          </w:tcPr>
          <w:p>
            <w:pPr>
              <w:ind w:left="160"/>
              <w:spacing w:after="0"/>
              <w:rPr>
                <w:sz w:val="20"/>
                <w:szCs w:val="20"/>
                <w:color w:val="auto"/>
              </w:rPr>
            </w:pPr>
            <w:r>
              <w:rPr>
                <w:rFonts w:ascii="Arial" w:cs="Arial" w:eastAsia="Arial" w:hAnsi="Arial"/>
                <w:sz w:val="14"/>
                <w:szCs w:val="14"/>
                <w:color w:val="auto"/>
              </w:rPr>
              <w:t>Price Per Share</w:t>
            </w:r>
          </w:p>
        </w:tc>
        <w:tc>
          <w:tcPr>
            <w:tcW w:w="1840" w:type="dxa"/>
            <w:vAlign w:val="bottom"/>
          </w:tcPr>
          <w:p>
            <w:pPr>
              <w:jc w:val="center"/>
              <w:ind w:left="69"/>
              <w:spacing w:after="0"/>
              <w:rPr>
                <w:sz w:val="20"/>
                <w:szCs w:val="20"/>
                <w:color w:val="auto"/>
              </w:rPr>
            </w:pPr>
            <w:r>
              <w:rPr>
                <w:rFonts w:ascii="Arial" w:cs="Arial" w:eastAsia="Arial" w:hAnsi="Arial"/>
                <w:sz w:val="14"/>
                <w:szCs w:val="14"/>
                <w:color w:val="auto"/>
                <w:w w:val="88"/>
              </w:rPr>
              <w:t>$0.001</w:t>
            </w:r>
          </w:p>
        </w:tc>
        <w:tc>
          <w:tcPr>
            <w:tcW w:w="520" w:type="dxa"/>
            <w:vAlign w:val="bottom"/>
          </w:tcPr>
          <w:p>
            <w:pPr>
              <w:spacing w:after="0"/>
              <w:rPr>
                <w:sz w:val="15"/>
                <w:szCs w:val="15"/>
                <w:color w:val="auto"/>
              </w:rPr>
            </w:pPr>
          </w:p>
        </w:tc>
        <w:tc>
          <w:tcPr>
            <w:tcW w:w="980" w:type="dxa"/>
            <w:vAlign w:val="bottom"/>
          </w:tcPr>
          <w:p>
            <w:pPr>
              <w:jc w:val="center"/>
              <w:ind w:right="50"/>
              <w:spacing w:after="0"/>
              <w:rPr>
                <w:sz w:val="20"/>
                <w:szCs w:val="20"/>
                <w:color w:val="auto"/>
              </w:rPr>
            </w:pPr>
            <w:r>
              <w:rPr>
                <w:rFonts w:ascii="Arial" w:cs="Arial" w:eastAsia="Arial" w:hAnsi="Arial"/>
                <w:sz w:val="14"/>
                <w:szCs w:val="14"/>
                <w:color w:val="auto"/>
                <w:w w:val="88"/>
              </w:rPr>
              <w:t>$0.001</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9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Other investments</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4"/>
                <w:szCs w:val="14"/>
                <w:color w:val="auto"/>
              </w:rPr>
              <w:t>7,700</w:t>
            </w:r>
          </w:p>
        </w:tc>
        <w:tc>
          <w:tcPr>
            <w:tcW w:w="2700" w:type="dxa"/>
            <w:vAlign w:val="bottom"/>
            <w:shd w:val="clear" w:color="auto" w:fill="CCEEFF"/>
          </w:tcPr>
          <w:p>
            <w:pPr>
              <w:ind w:left="220"/>
              <w:spacing w:after="0" w:line="127" w:lineRule="exact"/>
              <w:rPr>
                <w:sz w:val="20"/>
                <w:szCs w:val="20"/>
                <w:color w:val="auto"/>
              </w:rPr>
            </w:pPr>
            <w:r>
              <w:rPr>
                <w:rFonts w:ascii="Arial" w:cs="Arial" w:eastAsia="Arial" w:hAnsi="Arial"/>
                <w:sz w:val="14"/>
                <w:szCs w:val="14"/>
                <w:color w:val="auto"/>
              </w:rPr>
              <w:t>Multiple Probability Weighted Cash</w:t>
            </w:r>
          </w:p>
        </w:tc>
        <w:tc>
          <w:tcPr>
            <w:tcW w:w="2260" w:type="dxa"/>
            <w:vAlign w:val="bottom"/>
            <w:shd w:val="clear" w:color="auto" w:fill="CCEEFF"/>
          </w:tcPr>
          <w:p>
            <w:pPr>
              <w:ind w:left="160"/>
              <w:spacing w:after="0" w:line="127" w:lineRule="exact"/>
              <w:rPr>
                <w:sz w:val="20"/>
                <w:szCs w:val="20"/>
                <w:color w:val="auto"/>
              </w:rPr>
            </w:pPr>
            <w:r>
              <w:rPr>
                <w:rFonts w:ascii="Arial" w:cs="Arial" w:eastAsia="Arial" w:hAnsi="Arial"/>
                <w:sz w:val="14"/>
                <w:szCs w:val="14"/>
                <w:color w:val="auto"/>
              </w:rPr>
              <w:t>Discount Rate</w:t>
            </w:r>
          </w:p>
        </w:tc>
        <w:tc>
          <w:tcPr>
            <w:tcW w:w="1840" w:type="dxa"/>
            <w:vAlign w:val="bottom"/>
            <w:shd w:val="clear" w:color="auto" w:fill="CCEEFF"/>
          </w:tcPr>
          <w:p>
            <w:pPr>
              <w:jc w:val="center"/>
              <w:ind w:left="69"/>
              <w:spacing w:after="0" w:line="127" w:lineRule="exact"/>
              <w:rPr>
                <w:sz w:val="20"/>
                <w:szCs w:val="20"/>
                <w:color w:val="auto"/>
              </w:rPr>
            </w:pPr>
            <w:r>
              <w:rPr>
                <w:rFonts w:ascii="Arial" w:cs="Arial" w:eastAsia="Arial" w:hAnsi="Arial"/>
                <w:sz w:val="14"/>
                <w:szCs w:val="14"/>
                <w:color w:val="auto"/>
                <w:w w:val="92"/>
              </w:rPr>
              <w:t>18% – 25%</w:t>
            </w:r>
          </w:p>
        </w:tc>
        <w:tc>
          <w:tcPr>
            <w:tcW w:w="52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right="50"/>
              <w:spacing w:after="0" w:line="127" w:lineRule="exact"/>
              <w:rPr>
                <w:sz w:val="20"/>
                <w:szCs w:val="20"/>
                <w:color w:val="auto"/>
              </w:rPr>
            </w:pPr>
            <w:r>
              <w:rPr>
                <w:rFonts w:ascii="Arial" w:cs="Arial" w:eastAsia="Arial" w:hAnsi="Arial"/>
                <w:sz w:val="14"/>
                <w:szCs w:val="14"/>
                <w:color w:val="auto"/>
                <w:w w:val="92"/>
              </w:rPr>
              <w:t>19%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Flow Model</w:t>
            </w:r>
          </w:p>
        </w:tc>
        <w:tc>
          <w:tcPr>
            <w:tcW w:w="2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Probability Weighting</w:t>
            </w:r>
          </w:p>
        </w:tc>
        <w:tc>
          <w:tcPr>
            <w:tcW w:w="184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2"/>
              </w:rPr>
              <w:t>0% – 100%</w:t>
            </w:r>
          </w:p>
        </w:tc>
        <w:tc>
          <w:tcPr>
            <w:tcW w:w="52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rPr>
              <w:t>Equity investments</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249</w:t>
            </w:r>
          </w:p>
        </w:tc>
        <w:tc>
          <w:tcPr>
            <w:tcW w:w="20" w:type="dxa"/>
            <w:vAlign w:val="bottom"/>
            <w:shd w:val="clear" w:color="auto" w:fill="CCEEFF"/>
          </w:tcPr>
          <w:p>
            <w:pPr>
              <w:spacing w:after="0"/>
              <w:rPr>
                <w:sz w:val="13"/>
                <w:szCs w:val="13"/>
                <w:color w:val="auto"/>
              </w:rPr>
            </w:pPr>
          </w:p>
        </w:tc>
        <w:tc>
          <w:tcPr>
            <w:tcW w:w="27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Last Equity Financing</w:t>
            </w:r>
          </w:p>
        </w:tc>
        <w:tc>
          <w:tcPr>
            <w:tcW w:w="22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Price Per Share</w:t>
            </w:r>
          </w:p>
        </w:tc>
        <w:tc>
          <w:tcPr>
            <w:tcW w:w="1840" w:type="dxa"/>
            <w:vAlign w:val="bottom"/>
            <w:shd w:val="clear" w:color="auto" w:fill="CCEEFF"/>
          </w:tcPr>
          <w:p>
            <w:pPr>
              <w:jc w:val="center"/>
              <w:ind w:left="69"/>
              <w:spacing w:after="0" w:line="159" w:lineRule="exact"/>
              <w:rPr>
                <w:sz w:val="20"/>
                <w:szCs w:val="20"/>
                <w:color w:val="auto"/>
              </w:rPr>
            </w:pPr>
            <w:r>
              <w:rPr>
                <w:rFonts w:ascii="Arial" w:cs="Arial" w:eastAsia="Arial" w:hAnsi="Arial"/>
                <w:sz w:val="14"/>
                <w:szCs w:val="14"/>
                <w:color w:val="auto"/>
                <w:w w:val="91"/>
              </w:rPr>
              <w:t>$0.00 – $1.26</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center"/>
              <w:ind w:right="70"/>
              <w:spacing w:after="0" w:line="159" w:lineRule="exact"/>
              <w:rPr>
                <w:sz w:val="20"/>
                <w:szCs w:val="20"/>
                <w:color w:val="auto"/>
              </w:rPr>
            </w:pPr>
            <w:r>
              <w:rPr>
                <w:rFonts w:ascii="Arial" w:cs="Arial" w:eastAsia="Arial" w:hAnsi="Arial"/>
                <w:sz w:val="14"/>
                <w:szCs w:val="14"/>
                <w:color w:val="auto"/>
                <w:w w:val="87"/>
              </w:rPr>
              <w:t>0.54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40" w:type="dxa"/>
            <w:vAlign w:val="bottom"/>
          </w:tcPr>
          <w:p>
            <w:pPr>
              <w:spacing w:after="0" w:line="153" w:lineRule="exact"/>
              <w:rPr>
                <w:sz w:val="20"/>
                <w:szCs w:val="20"/>
                <w:color w:val="auto"/>
              </w:rPr>
            </w:pPr>
            <w:r>
              <w:rPr>
                <w:rFonts w:ascii="Arial" w:cs="Arial" w:eastAsia="Arial" w:hAnsi="Arial"/>
                <w:sz w:val="14"/>
                <w:szCs w:val="14"/>
                <w:color w:val="auto"/>
              </w:rPr>
              <w:t>Total Level 3 investments</w:t>
            </w:r>
          </w:p>
        </w:tc>
        <w:tc>
          <w:tcPr>
            <w:tcW w:w="140" w:type="dxa"/>
            <w:vAlign w:val="bottom"/>
            <w:gridSpan w:val="2"/>
          </w:tcPr>
          <w:p>
            <w:pPr>
              <w:spacing w:after="0"/>
              <w:rPr>
                <w:sz w:val="13"/>
                <w:szCs w:val="13"/>
                <w:color w:val="auto"/>
              </w:rPr>
            </w:pPr>
          </w:p>
        </w:tc>
        <w:tc>
          <w:tcPr>
            <w:tcW w:w="100" w:type="dxa"/>
            <w:vAlign w:val="bottom"/>
          </w:tcPr>
          <w:p>
            <w:pPr>
              <w:jc w:val="right"/>
              <w:ind w:right="35"/>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line="153" w:lineRule="exact"/>
              <w:rPr>
                <w:sz w:val="20"/>
                <w:szCs w:val="20"/>
                <w:color w:val="auto"/>
              </w:rPr>
            </w:pPr>
            <w:r>
              <w:rPr>
                <w:rFonts w:ascii="Arial" w:cs="Arial" w:eastAsia="Arial" w:hAnsi="Arial"/>
                <w:sz w:val="14"/>
                <w:szCs w:val="14"/>
                <w:color w:val="auto"/>
              </w:rPr>
              <w:t>219,115</w:t>
            </w:r>
          </w:p>
        </w:tc>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81038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spacing w:after="0" w:line="220" w:lineRule="exact"/>
        <w:rPr>
          <w:sz w:val="20"/>
          <w:szCs w:val="20"/>
          <w:color w:val="auto"/>
        </w:rPr>
      </w:pPr>
    </w:p>
    <w:p>
      <w:pPr>
        <w:ind w:left="320" w:hanging="314"/>
        <w:spacing w:after="0" w:line="265" w:lineRule="auto"/>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pacing w:after="0" w:line="17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Borrowings: </w:t>
      </w:r>
      <w:r>
        <w:rPr>
          <w:rFonts w:ascii="Arial" w:cs="Arial" w:eastAsia="Arial" w:hAnsi="Arial"/>
          <w:sz w:val="18"/>
          <w:szCs w:val="18"/>
          <w:color w:val="auto"/>
        </w:rPr>
        <w:t>The carrying amount of borrowings under the Company’s revolving credit facility (the “Key Facility”) with KeyBank National Association</w:t>
      </w:r>
      <w:r>
        <w:rPr>
          <w:rFonts w:ascii="Arial" w:cs="Arial" w:eastAsia="Arial" w:hAnsi="Arial"/>
          <w:sz w:val="18"/>
          <w:szCs w:val="18"/>
          <w:i w:val="1"/>
          <w:iCs w:val="1"/>
          <w:color w:val="auto"/>
        </w:rPr>
        <w:t xml:space="preserve"> </w:t>
      </w:r>
      <w:r>
        <w:rPr>
          <w:rFonts w:ascii="Arial" w:cs="Arial" w:eastAsia="Arial" w:hAnsi="Arial"/>
          <w:sz w:val="18"/>
          <w:szCs w:val="18"/>
          <w:color w:val="auto"/>
        </w:rPr>
        <w:t>(“Key”) approximates fair value due to the variable interest rate of the Key Facility and is categorized as Level 2 within the fair value hierarchy described above. Additionally, the Company considers its creditworthiness in determining the fair value of such borrowings. The fair value of the fixed rate 2022 Notes (as defined in Note 7) is based on the closing public share price on the date of measurement. On December 31, 2018, the closing price of the 2022 Notes on the New York Stock Exchange was $24.90 per note, or $37.2 million. Therefore, the Company has categorized this borrowing as Level 1 within the fair value hierarchy described above.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Off-balance-sheet instruments: </w:t>
      </w:r>
      <w:r>
        <w:rPr>
          <w:rFonts w:ascii="Arial" w:cs="Arial" w:eastAsia="Arial" w:hAnsi="Arial"/>
          <w:sz w:val="18"/>
          <w:szCs w:val="18"/>
          <w:color w:val="auto"/>
        </w:rPr>
        <w:t>Fair values for off-balance-sheet lending commitments are based on fees currently charged to enter into similar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taking into account the remaining terms of the agreements and the counterparties’ credit standings. Therefore, the Company has categorized these instruments as Level 3 within the fair value hierarchy described above.</w:t>
      </w:r>
    </w:p>
    <w:p>
      <w:pPr>
        <w:spacing w:after="0" w:line="18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following tables detail the assets that are carried at fair value and measured at fair value on a recurring basis as of December 31, 2018 and 2017 and indicate the fair value hierarchy of the valuation techniques utilized by the Company to determine the fair value:</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8"/>
                <w:szCs w:val="18"/>
                <w:b w:val="1"/>
                <w:bCs w:val="1"/>
                <w:color w:val="auto"/>
                <w:w w:val="87"/>
              </w:rPr>
              <w:t>December 31, 2018</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8"/>
              </w:rPr>
              <w:t>Level 1</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6"/>
          </w:tcPr>
          <w:p>
            <w:pPr>
              <w:jc w:val="center"/>
              <w:ind w:right="380"/>
              <w:spacing w:after="0" w:line="206" w:lineRule="exact"/>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216,401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tcPr>
          <w:p>
            <w:pPr>
              <w:spacing w:after="0"/>
              <w:rPr>
                <w:sz w:val="20"/>
                <w:szCs w:val="20"/>
                <w:color w:val="auto"/>
              </w:rPr>
            </w:pPr>
            <w:r>
              <w:rPr>
                <w:rFonts w:ascii="Arial" w:cs="Arial" w:eastAsia="Arial" w:hAnsi="Arial"/>
                <w:sz w:val="18"/>
                <w:szCs w:val="18"/>
                <w:color w:val="auto"/>
              </w:rPr>
              <w:t>Warrant investments</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8,632</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tcPr>
          <w:p>
            <w:pPr>
              <w:spacing w:after="0"/>
              <w:rPr>
                <w:sz w:val="20"/>
                <w:szCs w:val="20"/>
                <w:color w:val="auto"/>
              </w:rPr>
            </w:pPr>
            <w:r>
              <w:rPr>
                <w:rFonts w:ascii="Arial" w:cs="Arial" w:eastAsia="Arial" w:hAnsi="Arial"/>
                <w:sz w:val="18"/>
                <w:szCs w:val="18"/>
                <w:color w:val="auto"/>
              </w:rPr>
              <w:t>Equity investments</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544</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1,289</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480" w:type="dxa"/>
            <w:vAlign w:val="bottom"/>
            <w:shd w:val="clear" w:color="auto" w:fill="CCEEFF"/>
          </w:tcPr>
          <w:p>
            <w:pPr>
              <w:spacing w:after="0" w:line="265" w:lineRule="exact"/>
              <w:rPr>
                <w:sz w:val="20"/>
                <w:szCs w:val="20"/>
                <w:color w:val="auto"/>
              </w:rPr>
            </w:pPr>
            <w:r>
              <w:rPr>
                <w:rFonts w:ascii="Arial" w:cs="Arial" w:eastAsia="Arial" w:hAnsi="Arial"/>
                <w:sz w:val="18"/>
                <w:szCs w:val="18"/>
                <w:color w:val="auto"/>
              </w:rPr>
              <w:t>Equity interest in HSLFI</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13,243</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Total investments</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8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544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692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233,962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134620</wp:posOffset>
            </wp:positionV>
            <wp:extent cx="10274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206" w:lineRule="exact"/>
        <w:rPr>
          <w:sz w:val="20"/>
          <w:szCs w:val="20"/>
          <w:color w:val="auto"/>
        </w:rPr>
      </w:pPr>
    </w:p>
    <w:p>
      <w:pPr>
        <w:ind w:left="1020" w:right="1660" w:hanging="378"/>
        <w:spacing w:after="0" w:line="265"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fair value of Company’s equity interest in HSLFI is determined using the net asset value of the Company’s ownership interest in member’s capital.</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8"/>
                <w:szCs w:val="18"/>
                <w:b w:val="1"/>
                <w:bCs w:val="1"/>
                <w:color w:val="auto"/>
                <w:w w:val="87"/>
              </w:rPr>
              <w:t>December 31, 2017</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8"/>
              </w:rPr>
              <w:t>Level 1</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6"/>
          </w:tcPr>
          <w:p>
            <w:pPr>
              <w:jc w:val="center"/>
              <w:ind w:right="300"/>
              <w:spacing w:after="0" w:line="206" w:lineRule="exact"/>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203,793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tcPr>
          <w:p>
            <w:pPr>
              <w:spacing w:after="0"/>
              <w:rPr>
                <w:sz w:val="20"/>
                <w:szCs w:val="20"/>
                <w:color w:val="auto"/>
              </w:rPr>
            </w:pPr>
            <w:r>
              <w:rPr>
                <w:rFonts w:ascii="Arial" w:cs="Arial" w:eastAsia="Arial" w:hAnsi="Arial"/>
                <w:sz w:val="18"/>
                <w:szCs w:val="18"/>
                <w:color w:val="auto"/>
              </w:rPr>
              <w:t>Warrant investments</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7,373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80" w:type="dxa"/>
            <w:vAlign w:val="bottom"/>
          </w:tcPr>
          <w:p>
            <w:pPr>
              <w:spacing w:after="0"/>
              <w:rPr>
                <w:sz w:val="20"/>
                <w:szCs w:val="20"/>
                <w:color w:val="auto"/>
              </w:rPr>
            </w:pPr>
            <w:r>
              <w:rPr>
                <w:rFonts w:ascii="Arial" w:cs="Arial" w:eastAsia="Arial" w:hAnsi="Arial"/>
                <w:sz w:val="18"/>
                <w:szCs w:val="18"/>
                <w:color w:val="auto"/>
              </w:rPr>
              <w:t>Equity investments</w:t>
            </w:r>
          </w:p>
        </w:tc>
        <w:tc>
          <w:tcPr>
            <w:tcW w:w="1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1,267</w:t>
            </w: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219,115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222,099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20" w:firstLine="318"/>
        <w:spacing w:after="0" w:line="265"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year ended December 31, 2018:</w:t>
      </w:r>
    </w:p>
    <w:p>
      <w:pPr>
        <w:spacing w:after="0" w:line="187"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w w:val="88"/>
              </w:rPr>
              <w:t>December 31, 2018</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520"/>
              <w:spacing w:after="0" w:line="188" w:lineRule="exact"/>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72"/>
              <w:spacing w:after="0" w:line="188" w:lineRule="exact"/>
              <w:rPr>
                <w:sz w:val="20"/>
                <w:szCs w:val="20"/>
                <w:color w:val="auto"/>
              </w:rPr>
            </w:pPr>
            <w:r>
              <w:rPr>
                <w:rFonts w:ascii="Arial" w:cs="Arial" w:eastAsia="Arial" w:hAnsi="Arial"/>
                <w:sz w:val="18"/>
                <w:szCs w:val="18"/>
                <w:b w:val="1"/>
                <w:bCs w:val="1"/>
                <w:color w:val="auto"/>
              </w:rPr>
              <w:t>Warrant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520"/>
              <w:spacing w:after="0" w:line="188" w:lineRule="exact"/>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6"/>
                <w:szCs w:val="16"/>
                <w:color w:val="auto"/>
              </w:rPr>
            </w:pPr>
          </w:p>
        </w:tc>
        <w:tc>
          <w:tcPr>
            <w:tcW w:w="1200" w:type="dxa"/>
            <w:vAlign w:val="bottom"/>
            <w:gridSpan w:val="2"/>
          </w:tcPr>
          <w:p>
            <w:pPr>
              <w:jc w:val="right"/>
              <w:ind w:right="520"/>
              <w:spacing w:after="0" w:line="188" w:lineRule="exact"/>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w w:val="85"/>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Investments</w:t>
            </w:r>
          </w:p>
        </w:tc>
        <w:tc>
          <w:tcPr>
            <w:tcW w:w="22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6"/>
        </w:trPr>
        <w:tc>
          <w:tcPr>
            <w:tcW w:w="37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4"/>
          </w:tcPr>
          <w:p>
            <w:pPr>
              <w:ind w:left="80"/>
              <w:spacing w:after="0" w:line="206" w:lineRule="exact"/>
              <w:rPr>
                <w:sz w:val="20"/>
                <w:szCs w:val="20"/>
                <w:color w:val="auto"/>
              </w:rPr>
            </w:pPr>
            <w:r>
              <w:rPr>
                <w:rFonts w:ascii="Arial" w:cs="Arial" w:eastAsia="Arial" w:hAnsi="Arial"/>
                <w:sz w:val="18"/>
                <w:szCs w:val="18"/>
                <w:b w:val="1"/>
                <w:bCs w:val="1"/>
                <w:color w:val="auto"/>
              </w:rPr>
              <w:t>(In thousands)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203,793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7,373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219,115</w:t>
            </w:r>
          </w:p>
        </w:tc>
        <w:tc>
          <w:tcPr>
            <w:tcW w:w="0" w:type="dxa"/>
            <w:vAlign w:val="bottom"/>
          </w:tcPr>
          <w:p>
            <w:pPr>
              <w:spacing w:after="0"/>
              <w:rPr>
                <w:sz w:val="1"/>
                <w:szCs w:val="1"/>
                <w:color w:val="auto"/>
              </w:rPr>
            </w:pPr>
          </w:p>
        </w:tc>
      </w:tr>
      <w:tr>
        <w:trPr>
          <w:trHeight w:val="212"/>
        </w:trPr>
        <w:tc>
          <w:tcPr>
            <w:tcW w:w="370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101,257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700" w:type="dxa"/>
            <w:vAlign w:val="bottom"/>
            <w:tcBorders>
              <w:right w:val="single" w:sz="8" w:color="CCEEFF"/>
            </w:tcBorders>
            <w:shd w:val="clear" w:color="auto" w:fill="CCEEFF"/>
          </w:tcPr>
          <w:p>
            <w:pPr>
              <w:spacing w:after="0" w:line="200" w:lineRule="exact"/>
              <w:rPr>
                <w:sz w:val="20"/>
                <w:szCs w:val="20"/>
                <w:color w:val="auto"/>
              </w:rPr>
            </w:pPr>
            <w:r>
              <w:rPr>
                <w:rFonts w:ascii="Arial" w:cs="Arial" w:eastAsia="Arial" w:hAnsi="Arial"/>
                <w:sz w:val="18"/>
                <w:szCs w:val="18"/>
                <w:color w:val="auto"/>
                <w:w w:val="98"/>
              </w:rPr>
              <w:t>Warrants and equity received and classified as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7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Level 3</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1,479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0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(84,224)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(84,439)</w:t>
            </w:r>
          </w:p>
        </w:tc>
        <w:tc>
          <w:tcPr>
            <w:tcW w:w="0" w:type="dxa"/>
            <w:vAlign w:val="bottom"/>
          </w:tcPr>
          <w:p>
            <w:pPr>
              <w:spacing w:after="0"/>
              <w:rPr>
                <w:sz w:val="1"/>
                <w:szCs w:val="1"/>
                <w:color w:val="auto"/>
              </w:rPr>
            </w:pPr>
          </w:p>
        </w:tc>
      </w:tr>
      <w:tr>
        <w:trPr>
          <w:trHeight w:val="212"/>
        </w:trPr>
        <w:tc>
          <w:tcPr>
            <w:tcW w:w="3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12"/>
        </w:trPr>
        <w:tc>
          <w:tcPr>
            <w:tcW w:w="370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0"/>
        </w:trPr>
        <w:tc>
          <w:tcPr>
            <w:tcW w:w="3700" w:type="dxa"/>
            <w:vAlign w:val="bottom"/>
            <w:tcBorders>
              <w:right w:val="single" w:sz="8" w:color="CCEEFF"/>
            </w:tcBorders>
            <w:shd w:val="clear" w:color="auto" w:fill="CCEEFF"/>
          </w:tcPr>
          <w:p>
            <w:pPr>
              <w:spacing w:after="0" w:line="200" w:lineRule="exact"/>
              <w:rPr>
                <w:sz w:val="20"/>
                <w:szCs w:val="20"/>
                <w:color w:val="auto"/>
              </w:rPr>
            </w:pPr>
            <w:r>
              <w:rPr>
                <w:rFonts w:ascii="Arial" w:cs="Arial" w:eastAsia="Arial" w:hAnsi="Arial"/>
                <w:sz w:val="18"/>
                <w:szCs w:val="18"/>
                <w:color w:val="auto"/>
                <w:w w:val="92"/>
              </w:rPr>
              <w:t>Unrealized (depreciation) appreciation included in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7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4"/>
        </w:trPr>
        <w:tc>
          <w:tcPr>
            <w:tcW w:w="37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37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Level 3 assets, end of period</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70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216,401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8,632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7,640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233,962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year ended December 31, 2018, there were no transfers in or out of Level 3 assets.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change in unrealized appreciation included in the consolidated statement of operations attributable to Level 3 investments still held at December 31, 2018 includes $0.2 million in unrealized depreciation on debt and other investments, $0.2 million in unrealized appreciation on warrant investments and $0.05 million in unrealized depreciation on equity investments.</w:t>
      </w:r>
    </w:p>
    <w:p>
      <w:pPr>
        <w:spacing w:after="0" w:line="189" w:lineRule="exact"/>
        <w:rPr>
          <w:sz w:val="20"/>
          <w:szCs w:val="20"/>
          <w:color w:val="auto"/>
        </w:rPr>
      </w:pPr>
    </w:p>
    <w:p>
      <w:pPr>
        <w:ind w:right="220" w:firstLine="318"/>
        <w:spacing w:after="0" w:line="265"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year ended December 31, 2017:</w:t>
      </w:r>
    </w:p>
    <w:p>
      <w:pPr>
        <w:spacing w:after="0" w:line="187"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w w:val="88"/>
              </w:rPr>
              <w:t>December 31, 2017</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520"/>
              <w:spacing w:after="0" w:line="188" w:lineRule="exact"/>
              <w:rPr>
                <w:sz w:val="20"/>
                <w:szCs w:val="20"/>
                <w:color w:val="auto"/>
              </w:rPr>
            </w:pPr>
            <w:r>
              <w:rPr>
                <w:rFonts w:ascii="Arial" w:cs="Arial" w:eastAsia="Arial" w:hAnsi="Arial"/>
                <w:sz w:val="18"/>
                <w:szCs w:val="18"/>
                <w:b w:val="1"/>
                <w:bCs w:val="1"/>
                <w:color w:val="auto"/>
              </w:rPr>
              <w:t>Debt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72"/>
              <w:spacing w:after="0" w:line="188" w:lineRule="exact"/>
              <w:rPr>
                <w:sz w:val="20"/>
                <w:szCs w:val="20"/>
                <w:color w:val="auto"/>
              </w:rPr>
            </w:pPr>
            <w:r>
              <w:rPr>
                <w:rFonts w:ascii="Arial" w:cs="Arial" w:eastAsia="Arial" w:hAnsi="Arial"/>
                <w:sz w:val="18"/>
                <w:szCs w:val="18"/>
                <w:b w:val="1"/>
                <w:bCs w:val="1"/>
                <w:color w:val="auto"/>
              </w:rPr>
              <w:t>Warrant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520"/>
              <w:spacing w:after="0" w:line="188" w:lineRule="exact"/>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6"/>
                <w:szCs w:val="16"/>
                <w:color w:val="auto"/>
              </w:rPr>
            </w:pPr>
          </w:p>
        </w:tc>
        <w:tc>
          <w:tcPr>
            <w:tcW w:w="1200" w:type="dxa"/>
            <w:vAlign w:val="bottom"/>
            <w:gridSpan w:val="2"/>
          </w:tcPr>
          <w:p>
            <w:pPr>
              <w:jc w:val="right"/>
              <w:ind w:right="520"/>
              <w:spacing w:after="0" w:line="188" w:lineRule="exact"/>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w w:val="85"/>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Investments</w:t>
            </w: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Investments</w:t>
            </w:r>
          </w:p>
        </w:tc>
        <w:tc>
          <w:tcPr>
            <w:tcW w:w="22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6"/>
        </w:trPr>
        <w:tc>
          <w:tcPr>
            <w:tcW w:w="3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4"/>
          </w:tcPr>
          <w:p>
            <w:pPr>
              <w:ind w:left="80"/>
              <w:spacing w:after="0" w:line="206" w:lineRule="exact"/>
              <w:rPr>
                <w:sz w:val="20"/>
                <w:szCs w:val="20"/>
                <w:color w:val="auto"/>
              </w:rPr>
            </w:pPr>
            <w:r>
              <w:rPr>
                <w:rFonts w:ascii="Arial" w:cs="Arial" w:eastAsia="Arial" w:hAnsi="Arial"/>
                <w:sz w:val="18"/>
                <w:szCs w:val="18"/>
                <w:b w:val="1"/>
                <w:bCs w:val="1"/>
                <w:color w:val="auto"/>
              </w:rPr>
              <w:t>(In thousands)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186,186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5,857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135,556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135,556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7"/>
              </w:rPr>
              <w:t>Warrants and equity received and classified as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Level 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2,355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4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(103,659)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(103,811)</w:t>
            </w: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2"/>
        </w:trPr>
        <w:tc>
          <w:tcPr>
            <w:tcW w:w="364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(21,219)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766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(20,453)</w:t>
            </w:r>
          </w:p>
        </w:tc>
        <w:tc>
          <w:tcPr>
            <w:tcW w:w="0" w:type="dxa"/>
            <w:vAlign w:val="bottom"/>
          </w:tcPr>
          <w:p>
            <w:pPr>
              <w:spacing w:after="0"/>
              <w:rPr>
                <w:sz w:val="1"/>
                <w:szCs w:val="1"/>
                <w:color w:val="auto"/>
              </w:rPr>
            </w:pPr>
          </w:p>
        </w:tc>
      </w:tr>
      <w:tr>
        <w:trPr>
          <w:trHeight w:val="200"/>
        </w:trPr>
        <w:tc>
          <w:tcPr>
            <w:tcW w:w="36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1"/>
              </w:rPr>
              <w:t>Unrealized appreciation (depreciation) included in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earnings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640" w:type="dxa"/>
            <w:vAlign w:val="bottom"/>
          </w:tcPr>
          <w:p>
            <w:pPr>
              <w:spacing w:after="0" w:line="200" w:lineRule="exact"/>
              <w:rPr>
                <w:sz w:val="20"/>
                <w:szCs w:val="20"/>
                <w:color w:val="auto"/>
              </w:rPr>
            </w:pPr>
            <w:r>
              <w:rPr>
                <w:rFonts w:ascii="Arial" w:cs="Arial" w:eastAsia="Arial" w:hAnsi="Arial"/>
                <w:sz w:val="18"/>
                <w:szCs w:val="18"/>
                <w:color w:val="auto"/>
              </w:rPr>
              <w:t>Transfer from debt investments to 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Level 3 assets, end of period</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203,793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7,373</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7,700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219,115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year ended December 31, 2017, there were no transfers in or out of Level 3 assets.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change in unrealized appreciation included in the consolidated statement of operations attributable to Level 3 investments still held at December 31, 2017 includes $0.1 million in unrealized appreciation on debt and other investments, $0.3 million in unrealized depreciation on warrant investments and $0.01 million in unrealized appreciation on equity investments.</w:t>
      </w:r>
    </w:p>
    <w:p>
      <w:pPr>
        <w:spacing w:after="0" w:line="18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discloses fair value information about financial instruments, whether or not recognized in the consolidated statement of assets and liabilities, for which it is practicable to estimate that value. Certain financial instruments are excluded from the disclosure requirements. Accordingly, the aggregate fair value amounts presented do not represent the underlying value of the Company.</w:t>
      </w:r>
    </w:p>
    <w:p>
      <w:pPr>
        <w:spacing w:after="0" w:line="18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 at year-end.</w:t>
      </w:r>
    </w:p>
    <w:p>
      <w:pPr>
        <w:spacing w:after="0" w:line="18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As of December 31, 2018 and 2017, all of the balances of all the Company’s financial instruments were recorded at fair value, except for the Company’s 2022 Notes, as previously described.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Off-balance-sheet instruments</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assumes interest rate risk (the risk that general interest rate levels will change) as a result of its normal operations. As a result, the fair values of the Company’s financial instruments will change when interest rate levels change, and that change may be either favorable or unfavorable to the Company. Management attempts to match maturities of assets and liabilities to the extent believed necessary to minimize interest rate risk. Management monitors rates and maturities of assets and liabilities and attempts to minimize interest rate risk by adjusting terms of new debt investments and by investing in securities with terms that mitigate the Company’s overall interest rate risk.</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Borrowings</w:t>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the Company’s borrowings as of December 31, 2018 and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 2018</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jc w:val="center"/>
              <w:ind w:left="712"/>
              <w:spacing w:after="0"/>
              <w:rPr>
                <w:sz w:val="20"/>
                <w:szCs w:val="20"/>
                <w:color w:val="auto"/>
              </w:rPr>
            </w:pPr>
            <w:r>
              <w:rPr>
                <w:rFonts w:ascii="Arial" w:cs="Arial" w:eastAsia="Arial" w:hAnsi="Arial"/>
                <w:sz w:val="18"/>
                <w:szCs w:val="18"/>
                <w:b w:val="1"/>
                <w:bCs w:val="1"/>
                <w:color w:val="auto"/>
                <w:w w:val="87"/>
              </w:rPr>
              <w:t>December 31, 2017</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72"/>
              <w:spacing w:after="0" w:line="189" w:lineRule="exact"/>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420"/>
              <w:spacing w:after="0" w:line="189" w:lineRule="exact"/>
              <w:rPr>
                <w:sz w:val="20"/>
                <w:szCs w:val="20"/>
                <w:color w:val="auto"/>
              </w:rPr>
            </w:pPr>
            <w:r>
              <w:rPr>
                <w:rFonts w:ascii="Arial" w:cs="Arial" w:eastAsia="Arial" w:hAnsi="Arial"/>
                <w:sz w:val="18"/>
                <w:szCs w:val="18"/>
                <w:b w:val="1"/>
                <w:bCs w:val="1"/>
                <w:color w:val="auto"/>
                <w:w w:val="86"/>
              </w:rPr>
              <w:t>Balance</w:t>
            </w:r>
          </w:p>
        </w:tc>
        <w:tc>
          <w:tcPr>
            <w:tcW w:w="140" w:type="dxa"/>
            <w:vAlign w:val="bottom"/>
          </w:tcPr>
          <w:p>
            <w:pPr>
              <w:spacing w:after="0"/>
              <w:rPr>
                <w:sz w:val="16"/>
                <w:szCs w:val="16"/>
                <w:color w:val="auto"/>
              </w:rPr>
            </w:pPr>
          </w:p>
        </w:tc>
        <w:tc>
          <w:tcPr>
            <w:tcW w:w="900" w:type="dxa"/>
            <w:vAlign w:val="bottom"/>
          </w:tcPr>
          <w:p>
            <w:pPr>
              <w:jc w:val="right"/>
              <w:ind w:right="172"/>
              <w:spacing w:after="0" w:line="189" w:lineRule="exact"/>
              <w:rPr>
                <w:sz w:val="20"/>
                <w:szCs w:val="20"/>
                <w:color w:val="auto"/>
              </w:rPr>
            </w:pPr>
            <w:r>
              <w:rPr>
                <w:rFonts w:ascii="Arial" w:cs="Arial" w:eastAsia="Arial" w:hAnsi="Arial"/>
                <w:sz w:val="18"/>
                <w:szCs w:val="18"/>
                <w:b w:val="1"/>
                <w:bCs w:val="1"/>
                <w:color w:val="auto"/>
                <w:w w:val="93"/>
              </w:rPr>
              <w:t>Unused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540"/>
              <w:spacing w:after="0" w:line="189"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6"/>
                <w:szCs w:val="16"/>
                <w:color w:val="auto"/>
              </w:rPr>
            </w:pPr>
          </w:p>
        </w:tc>
        <w:tc>
          <w:tcPr>
            <w:tcW w:w="1080" w:type="dxa"/>
            <w:vAlign w:val="bottom"/>
            <w:gridSpan w:val="2"/>
          </w:tcPr>
          <w:p>
            <w:pPr>
              <w:jc w:val="center"/>
              <w:ind w:right="380"/>
              <w:spacing w:after="0" w:line="189" w:lineRule="exact"/>
              <w:rPr>
                <w:sz w:val="20"/>
                <w:szCs w:val="20"/>
                <w:color w:val="auto"/>
              </w:rPr>
            </w:pPr>
            <w:r>
              <w:rPr>
                <w:rFonts w:ascii="Arial" w:cs="Arial" w:eastAsia="Arial" w:hAnsi="Arial"/>
                <w:sz w:val="18"/>
                <w:szCs w:val="18"/>
                <w:b w:val="1"/>
                <w:bCs w:val="1"/>
                <w:color w:val="auto"/>
                <w:w w:val="83"/>
              </w:rPr>
              <w:t>Balance</w:t>
            </w:r>
          </w:p>
        </w:tc>
        <w:tc>
          <w:tcPr>
            <w:tcW w:w="160" w:type="dxa"/>
            <w:vAlign w:val="bottom"/>
          </w:tcPr>
          <w:p>
            <w:pPr>
              <w:spacing w:after="0"/>
              <w:rPr>
                <w:sz w:val="16"/>
                <w:szCs w:val="16"/>
                <w:color w:val="auto"/>
              </w:rPr>
            </w:pPr>
          </w:p>
        </w:tc>
        <w:tc>
          <w:tcPr>
            <w:tcW w:w="860" w:type="dxa"/>
            <w:vAlign w:val="bottom"/>
          </w:tcPr>
          <w:p>
            <w:pPr>
              <w:jc w:val="right"/>
              <w:ind w:right="132"/>
              <w:spacing w:after="0" w:line="189" w:lineRule="exact"/>
              <w:rPr>
                <w:sz w:val="20"/>
                <w:szCs w:val="20"/>
                <w:color w:val="auto"/>
              </w:rPr>
            </w:pPr>
            <w:r>
              <w:rPr>
                <w:rFonts w:ascii="Arial" w:cs="Arial" w:eastAsia="Arial" w:hAnsi="Arial"/>
                <w:sz w:val="18"/>
                <w:szCs w:val="18"/>
                <w:b w:val="1"/>
                <w:bCs w:val="1"/>
                <w:color w:val="auto"/>
                <w:w w:val="93"/>
              </w:rPr>
              <w:t>Unused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0"/>
              </w:rPr>
              <w:t>Commitment</w:t>
            </w:r>
          </w:p>
        </w:tc>
        <w:tc>
          <w:tcPr>
            <w:tcW w:w="220" w:type="dxa"/>
            <w:vAlign w:val="bottom"/>
          </w:tcPr>
          <w:p>
            <w:pPr>
              <w:spacing w:after="0"/>
              <w:rPr>
                <w:sz w:val="19"/>
                <w:szCs w:val="19"/>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Commitment</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Commitment</w:t>
            </w: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Outstanding</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Commitment</w:t>
            </w:r>
          </w:p>
        </w:tc>
        <w:tc>
          <w:tcPr>
            <w:tcW w:w="0" w:type="dxa"/>
            <w:vAlign w:val="bottom"/>
          </w:tcPr>
          <w:p>
            <w:pPr>
              <w:spacing w:after="0"/>
              <w:rPr>
                <w:sz w:val="1"/>
                <w:szCs w:val="1"/>
                <w:color w:val="auto"/>
              </w:rPr>
            </w:pPr>
          </w:p>
        </w:tc>
      </w:tr>
      <w:tr>
        <w:trPr>
          <w:trHeight w:val="206"/>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4"/>
          </w:tcPr>
          <w:p>
            <w:pPr>
              <w:jc w:val="right"/>
              <w:ind w:right="512"/>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90,500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2022 Notes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37,375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37,375</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37,375</w:t>
            </w:r>
          </w:p>
        </w:tc>
        <w:tc>
          <w:tcPr>
            <w:tcW w:w="1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37,375</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386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Total before debt issuance costs</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162,375</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127,875</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132,375</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860" w:type="dxa"/>
            <w:vAlign w:val="bottom"/>
          </w:tcPr>
          <w:p>
            <w:pPr>
              <w:spacing w:after="0" w:line="180" w:lineRule="exact"/>
              <w:rPr>
                <w:sz w:val="20"/>
                <w:szCs w:val="20"/>
                <w:color w:val="auto"/>
              </w:rPr>
            </w:pPr>
            <w:r>
              <w:rPr>
                <w:rFonts w:ascii="Arial" w:cs="Arial" w:eastAsia="Arial" w:hAnsi="Arial"/>
                <w:sz w:val="18"/>
                <w:szCs w:val="18"/>
                <w:color w:val="auto"/>
                <w:w w:val="91"/>
              </w:rPr>
              <w:t>Unamortized debt issuance costs attributable to term</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borrowings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(1,300)</w:t>
            </w: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borrowings outstanding, net</w:t>
            </w: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60" w:type="dxa"/>
            <w:vAlign w:val="bottom"/>
            <w:vMerge w:val="continue"/>
            <w:shd w:val="clear" w:color="auto" w:fill="CCEEFF"/>
          </w:tcPr>
          <w:p>
            <w:pPr>
              <w:spacing w:after="0"/>
              <w:rPr>
                <w:sz w:val="19"/>
                <w:szCs w:val="19"/>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162,375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126,853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94,075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Currently, with certain limited exceptions, as a BDC, the Company is only allowed to borrow amounts such that the Company’s asset coverage, as defined in the 1940 Act, is at least 150% after such borrowings. As of December 31, 2018, the asset coverage for borrowed amounts was 205%.</w:t>
      </w:r>
    </w:p>
    <w:p>
      <w:pPr>
        <w:spacing w:after="0" w:line="158"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On March 23, 2018, President Trump signed into law the Small Business Credit Availability Act as part of an omnibus spending bill, which, among other things, amends the 1940 Act to reduce the minimum required asset coverage applicable to BDCs under the 1940 Act from 200% to 150% if certain approval and disclosure requirements are met. Before such reduced asset coverage requirement can apply to the Company, such reduced asset coverage requirement must be approved by either (a) a “required majority” (as defined in Section 57(o) of the 1940 Act) of the Board, in which case such reduced asset coverage requirement would take effect on the first anniversary of the date of such Board approval, or (b) a majority of votes cast by the stockholders of the Company at a special or annual meeting at which a quorum is present, in which case such reduced asset coverage requirement shall take effect on the day after such approval. On June 7, 2018, a “required majority” of the Board approved the reduced asset coverage requirements and separately recommended that the Company’s stockholders approve the reduced asset coverage requirements at a special meeting of the Company’s stockholders. The Company held a special meeting on October 30, 2018 during which the reduced asset coverage requirements were approved by stockholders. The reduced asset coverage requirements took effect October 31, 2018.</w:t>
      </w:r>
    </w:p>
    <w:p>
      <w:pPr>
        <w:spacing w:after="0" w:line="15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Company entered into the Key Facility with Key effective November 4, 2013. On December 28, 2018, the Company amended the Key Facility, increasing the aggregate commitments under the Key Facility by $25 million to $125 million. The Key Facility has an accordion feature which allows for an increase in the total loan commitment to $150 million from the $125 million commitment. The Key Facility is collateralized by all debt investments and warrants held by Credit II and permits an advance rate of up to 50% of eligible debt investments held by Credit II. The Key Facility contains covenants that, among other things, require the Company to maintain a minimum net worth and to restrict the debt investments securing the Key Facility to certain criteria for qualified debt investments and includes portfolio company concentration limits as defined in the related loan agreement. The Key Facility has a revolving period that extends to April 6, 2021, followed by a two-year amortization period and is scheduled to mature on April 6, 2023. The interest rate is based upon the one-month LIBOR, plus a spread of 3.25%, with a LIBOR floor of 0.75%. The LIBOR rate was 2.50% and 1.56% on December 31, 2018 and 2017, respectively. The average interest rate for the years ended December 31, 2018 and 2017 was 5.23% and 4.33%, respectively. The Key Facility requires the payment of an unused line fee in an amount equal to 0.50% of any unborrowed amount available under the facility annually. As of December 31, 2018 and 2017, the Company had borrowing capacity under the Key Facility of $34.5 million and $37.0 million, respectively. At December 31, 2018 and 2017, $0.9 million and $23.6 million, respectively, was available, subject to existing terms and advance rates.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March 23, 2012, the Company issued and sold an aggregate principal amount of $30.0 million of 7.375% senior unsecured notes due in 2019 and on April 18, 2012, pursuant to the underwriters’ 30 day option to purchase additional notes, the Company sold an additional $3.0 million of such notes (collectively, the “2019 Notes”). The 2019 Notes had a stated maturity of March 15, 2019 and were redeemable in whole or in part at the Company’s option at any time or from time to time at a redemption price of $25 per security plus accrued and unpaid interest. The 2019 Notes bore interest at a rate of 7.375% per year payable quarterly on March 15, June 15, September 15 and December 15 of each year. The 2019 Notes were the Company’s direct unsecured obligations and (i) ranked equally in right of payment with the Company’s future unsecured indebtedness; (ii) were senior in right of payment to any of the Company’s future indebtedness that expressly provided it was subordinated to the 2019 Notes; (iii) were effectively subordinated to all of the Company’s existing and future secured indebtedness (including indebtedness that was initially unsecured to which the Company subsequently granted security), to the extent of the value of the assets securing such indebtedness, and (iv) were structurally subordinated to all existing and future indebtedness and other obligations of any of the Company’s subsidiaries. On October 30, 2017 (the “Redemption Date”), the Company redeemed all of the issued and outstanding 2019 Notes in an aggregate principal amount of $33.0 million and paid accrued interest of $0.3 million. The Company accelerated $0.2 million of unamortized debt issuance costs related to the 2019 Notes. The 2019 Notes were delisted effective on the Redemption Date.</w:t>
      </w:r>
    </w:p>
    <w:p>
      <w:pPr>
        <w:spacing w:after="0" w:line="37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September 29, 2017, the Company issued and sold an aggregate principal amount of $32.5 million of 6.25% notes due in 2022 and on October 11, 2017, pursuant to the underwriters’ 30 day option to purchase additional notes, the Company sold an additional $4.9 million of such notes (collectively, the “2022 Notes”). The 2022 Notes have a stated maturity of September 15, 2022 and may be redeemed in whole or in part at the Company’s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the Company’s direct unsecured obligations and (i) rank equally in right of payment with the Company’s current and future unsecured indebtedness; (ii) are senior in right of payment to any of the Company’s future indebtedness that expressly provides it is subordinated to the 2022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December 31, 2018, the Company was in material compliance with the terms of the 2022 Notes. The 2022 Notes are listed on the New York Stock Exchange under the symbol “HTFA”.</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information about our senior securities as of December 31, 2018, 2017, 2016, 2015 and 2014:</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Total Amount</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172"/>
              <w:spacing w:after="0"/>
              <w:rPr>
                <w:sz w:val="20"/>
                <w:szCs w:val="20"/>
                <w:color w:val="auto"/>
              </w:rPr>
            </w:pPr>
            <w:r>
              <w:rPr>
                <w:rFonts w:ascii="Arial" w:cs="Arial" w:eastAsia="Arial" w:hAnsi="Arial"/>
                <w:sz w:val="18"/>
                <w:szCs w:val="18"/>
                <w:b w:val="1"/>
                <w:bCs w:val="1"/>
                <w:color w:val="auto"/>
                <w:w w:val="90"/>
              </w:rPr>
              <w:t>Outstanding</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jc w:val="center"/>
              <w:ind w:left="92"/>
              <w:spacing w:after="0"/>
              <w:rPr>
                <w:sz w:val="20"/>
                <w:szCs w:val="20"/>
                <w:color w:val="auto"/>
              </w:rPr>
            </w:pPr>
            <w:r>
              <w:rPr>
                <w:rFonts w:ascii="Arial" w:cs="Arial" w:eastAsia="Arial" w:hAnsi="Arial"/>
                <w:sz w:val="18"/>
                <w:szCs w:val="18"/>
                <w:b w:val="1"/>
                <w:bCs w:val="1"/>
                <w:color w:val="auto"/>
                <w:w w:val="92"/>
              </w:rPr>
              <w:t>Involuntary</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Average</w:t>
            </w:r>
          </w:p>
        </w:tc>
      </w:tr>
      <w:tr>
        <w:trPr>
          <w:trHeight w:val="212"/>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172"/>
              <w:spacing w:after="0"/>
              <w:rPr>
                <w:sz w:val="20"/>
                <w:szCs w:val="20"/>
                <w:color w:val="auto"/>
              </w:rPr>
            </w:pPr>
            <w:r>
              <w:rPr>
                <w:rFonts w:ascii="Arial" w:cs="Arial" w:eastAsia="Arial" w:hAnsi="Arial"/>
                <w:sz w:val="18"/>
                <w:szCs w:val="18"/>
                <w:b w:val="1"/>
                <w:bCs w:val="1"/>
                <w:color w:val="auto"/>
                <w:w w:val="87"/>
              </w:rPr>
              <w:t>Exclusive of</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jc w:val="center"/>
              <w:ind w:left="72"/>
              <w:spacing w:after="0"/>
              <w:rPr>
                <w:sz w:val="20"/>
                <w:szCs w:val="20"/>
                <w:color w:val="auto"/>
              </w:rPr>
            </w:pPr>
            <w:r>
              <w:rPr>
                <w:rFonts w:ascii="Arial" w:cs="Arial" w:eastAsia="Arial" w:hAnsi="Arial"/>
                <w:sz w:val="18"/>
                <w:szCs w:val="18"/>
                <w:b w:val="1"/>
                <w:bCs w:val="1"/>
                <w:color w:val="auto"/>
                <w:w w:val="90"/>
              </w:rPr>
              <w:t>Liquidation</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Market</w:t>
            </w:r>
          </w:p>
        </w:tc>
      </w:tr>
      <w:tr>
        <w:trPr>
          <w:trHeight w:val="216"/>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Treasury</w:t>
            </w:r>
          </w:p>
        </w:tc>
        <w:tc>
          <w:tcPr>
            <w:tcW w:w="180" w:type="dxa"/>
            <w:vAlign w:val="bottom"/>
          </w:tcPr>
          <w:p>
            <w:pPr>
              <w:spacing w:after="0"/>
              <w:rPr>
                <w:sz w:val="18"/>
                <w:szCs w:val="18"/>
                <w:color w:val="auto"/>
              </w:rPr>
            </w:pPr>
          </w:p>
        </w:tc>
        <w:tc>
          <w:tcPr>
            <w:tcW w:w="1480" w:type="dxa"/>
            <w:vAlign w:val="bottom"/>
          </w:tcPr>
          <w:p>
            <w:pPr>
              <w:jc w:val="right"/>
              <w:ind w:right="232"/>
              <w:spacing w:after="0"/>
              <w:rPr>
                <w:sz w:val="20"/>
                <w:szCs w:val="20"/>
                <w:color w:val="auto"/>
              </w:rPr>
            </w:pPr>
            <w:r>
              <w:rPr>
                <w:rFonts w:ascii="Arial" w:cs="Arial" w:eastAsia="Arial" w:hAnsi="Arial"/>
                <w:sz w:val="18"/>
                <w:szCs w:val="18"/>
                <w:b w:val="1"/>
                <w:bCs w:val="1"/>
                <w:color w:val="auto"/>
                <w:w w:val="83"/>
              </w:rPr>
              <w:t>Asset Coverage</w:t>
            </w:r>
          </w:p>
        </w:tc>
        <w:tc>
          <w:tcPr>
            <w:tcW w:w="1120" w:type="dxa"/>
            <w:vAlign w:val="bottom"/>
          </w:tcPr>
          <w:p>
            <w:pPr>
              <w:jc w:val="center"/>
              <w:ind w:left="72"/>
              <w:spacing w:after="0"/>
              <w:rPr>
                <w:sz w:val="20"/>
                <w:szCs w:val="20"/>
                <w:color w:val="auto"/>
              </w:rPr>
            </w:pPr>
            <w:r>
              <w:rPr>
                <w:rFonts w:ascii="Arial" w:cs="Arial" w:eastAsia="Arial" w:hAnsi="Arial"/>
                <w:sz w:val="18"/>
                <w:szCs w:val="18"/>
                <w:b w:val="1"/>
                <w:bCs w:val="1"/>
                <w:color w:val="auto"/>
                <w:w w:val="85"/>
              </w:rPr>
              <w:t>Preference</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Value per</w:t>
            </w:r>
          </w:p>
        </w:tc>
      </w:tr>
      <w:tr>
        <w:trPr>
          <w:trHeight w:val="267"/>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Class and Year</w:t>
            </w:r>
          </w:p>
        </w:tc>
        <w:tc>
          <w:tcPr>
            <w:tcW w:w="120" w:type="dxa"/>
            <w:vAlign w:val="bottom"/>
          </w:tcPr>
          <w:p>
            <w:pPr>
              <w:spacing w:after="0"/>
              <w:rPr>
                <w:sz w:val="23"/>
                <w:szCs w:val="23"/>
                <w:color w:val="auto"/>
              </w:rPr>
            </w:pPr>
          </w:p>
        </w:tc>
        <w:tc>
          <w:tcPr>
            <w:tcW w:w="1380" w:type="dxa"/>
            <w:vAlign w:val="bottom"/>
          </w:tcPr>
          <w:p>
            <w:pPr>
              <w:jc w:val="center"/>
              <w:ind w:right="132"/>
              <w:spacing w:after="0" w:line="266" w:lineRule="exact"/>
              <w:rPr>
                <w:sz w:val="20"/>
                <w:szCs w:val="20"/>
                <w:color w:val="auto"/>
              </w:rPr>
            </w:pPr>
            <w:r>
              <w:rPr>
                <w:rFonts w:ascii="Arial" w:cs="Arial" w:eastAsia="Arial" w:hAnsi="Arial"/>
                <w:sz w:val="18"/>
                <w:szCs w:val="18"/>
                <w:b w:val="1"/>
                <w:bCs w:val="1"/>
                <w:color w:val="auto"/>
                <w:w w:val="83"/>
              </w:rPr>
              <w:t>Securities</w:t>
            </w:r>
            <w:r>
              <w:rPr>
                <w:rFonts w:ascii="Arial" w:cs="Arial" w:eastAsia="Arial" w:hAnsi="Arial"/>
                <w:sz w:val="29"/>
                <w:szCs w:val="29"/>
                <w:b w:val="1"/>
                <w:bCs w:val="1"/>
                <w:color w:val="auto"/>
                <w:w w:val="83"/>
                <w:vertAlign w:val="superscript"/>
              </w:rPr>
              <w:t>(1)</w:t>
            </w:r>
          </w:p>
        </w:tc>
        <w:tc>
          <w:tcPr>
            <w:tcW w:w="180" w:type="dxa"/>
            <w:vAlign w:val="bottom"/>
          </w:tcPr>
          <w:p>
            <w:pPr>
              <w:spacing w:after="0"/>
              <w:rPr>
                <w:sz w:val="23"/>
                <w:szCs w:val="23"/>
                <w:color w:val="auto"/>
              </w:rPr>
            </w:pPr>
          </w:p>
        </w:tc>
        <w:tc>
          <w:tcPr>
            <w:tcW w:w="1480" w:type="dxa"/>
            <w:vAlign w:val="bottom"/>
          </w:tcPr>
          <w:p>
            <w:pPr>
              <w:jc w:val="right"/>
              <w:ind w:right="392"/>
              <w:spacing w:after="0" w:line="266" w:lineRule="exact"/>
              <w:rPr>
                <w:sz w:val="20"/>
                <w:szCs w:val="20"/>
                <w:color w:val="auto"/>
              </w:rPr>
            </w:pPr>
            <w:r>
              <w:rPr>
                <w:rFonts w:ascii="Arial" w:cs="Arial" w:eastAsia="Arial" w:hAnsi="Arial"/>
                <w:sz w:val="18"/>
                <w:szCs w:val="18"/>
                <w:b w:val="1"/>
                <w:bCs w:val="1"/>
                <w:color w:val="auto"/>
              </w:rPr>
              <w:t>per Unit</w:t>
            </w:r>
            <w:r>
              <w:rPr>
                <w:rFonts w:ascii="Arial" w:cs="Arial" w:eastAsia="Arial" w:hAnsi="Arial"/>
                <w:sz w:val="29"/>
                <w:szCs w:val="29"/>
                <w:b w:val="1"/>
                <w:bCs w:val="1"/>
                <w:color w:val="auto"/>
                <w:vertAlign w:val="superscript"/>
              </w:rPr>
              <w:t>(2)</w:t>
            </w:r>
          </w:p>
        </w:tc>
        <w:tc>
          <w:tcPr>
            <w:tcW w:w="1120" w:type="dxa"/>
            <w:vAlign w:val="bottom"/>
          </w:tcPr>
          <w:p>
            <w:pPr>
              <w:jc w:val="center"/>
              <w:ind w:left="112"/>
              <w:spacing w:after="0" w:line="266" w:lineRule="exact"/>
              <w:rPr>
                <w:sz w:val="20"/>
                <w:szCs w:val="20"/>
                <w:color w:val="auto"/>
              </w:rPr>
            </w:pPr>
            <w:r>
              <w:rPr>
                <w:rFonts w:ascii="Arial" w:cs="Arial" w:eastAsia="Arial" w:hAnsi="Arial"/>
                <w:sz w:val="18"/>
                <w:szCs w:val="18"/>
                <w:b w:val="1"/>
                <w:bCs w:val="1"/>
                <w:color w:val="auto"/>
                <w:w w:val="87"/>
              </w:rPr>
              <w:t>per Unit</w:t>
            </w:r>
            <w:r>
              <w:rPr>
                <w:rFonts w:ascii="Arial" w:cs="Arial" w:eastAsia="Arial" w:hAnsi="Arial"/>
                <w:sz w:val="29"/>
                <w:szCs w:val="29"/>
                <w:b w:val="1"/>
                <w:bCs w:val="1"/>
                <w:color w:val="auto"/>
                <w:w w:val="87"/>
                <w:vertAlign w:val="superscript"/>
              </w:rPr>
              <w:t>(3)</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jc w:val="center"/>
              <w:ind w:right="280"/>
              <w:spacing w:after="0" w:line="266" w:lineRule="exact"/>
              <w:rPr>
                <w:sz w:val="20"/>
                <w:szCs w:val="20"/>
                <w:color w:val="auto"/>
              </w:rPr>
            </w:pPr>
            <w:r>
              <w:rPr>
                <w:rFonts w:ascii="Arial" w:cs="Arial" w:eastAsia="Arial" w:hAnsi="Arial"/>
                <w:sz w:val="18"/>
                <w:szCs w:val="18"/>
                <w:b w:val="1"/>
                <w:bCs w:val="1"/>
                <w:color w:val="auto"/>
                <w:w w:val="88"/>
              </w:rPr>
              <w:t>Unit</w:t>
            </w:r>
            <w:r>
              <w:rPr>
                <w:rFonts w:ascii="Arial" w:cs="Arial" w:eastAsia="Arial" w:hAnsi="Arial"/>
                <w:sz w:val="29"/>
                <w:szCs w:val="29"/>
                <w:b w:val="1"/>
                <w:bCs w:val="1"/>
                <w:color w:val="auto"/>
                <w:w w:val="88"/>
                <w:vertAlign w:val="superscript"/>
              </w:rPr>
              <w:t>(4)</w:t>
            </w:r>
          </w:p>
        </w:tc>
      </w:tr>
      <w:tr>
        <w:trPr>
          <w:trHeight w:val="205"/>
        </w:trPr>
        <w:tc>
          <w:tcPr>
            <w:tcW w:w="2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2"/>
          </w:tcPr>
          <w:p>
            <w:pPr>
              <w:ind w:left="140"/>
              <w:spacing w:after="0" w:line="206" w:lineRule="exact"/>
              <w:rPr>
                <w:sz w:val="20"/>
                <w:szCs w:val="20"/>
                <w:color w:val="auto"/>
              </w:rPr>
            </w:pPr>
            <w:r>
              <w:rPr>
                <w:rFonts w:ascii="Arial" w:cs="Arial" w:eastAsia="Arial" w:hAnsi="Arial"/>
                <w:sz w:val="18"/>
                <w:szCs w:val="18"/>
                <w:b w:val="1"/>
                <w:bCs w:val="1"/>
                <w:color w:val="auto"/>
                <w:w w:val="90"/>
              </w:rPr>
              <w:t>(In thousands, except unit data)</w:t>
            </w: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Credit facilities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2940" w:type="dxa"/>
            <w:vAlign w:val="bottom"/>
          </w:tcPr>
          <w:p>
            <w:pPr>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90,500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2,896</w:t>
            </w:r>
          </w:p>
        </w:tc>
        <w:tc>
          <w:tcPr>
            <w:tcW w:w="11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3,973</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2"/>
        </w:trPr>
        <w:tc>
          <w:tcPr>
            <w:tcW w:w="2940" w:type="dxa"/>
            <w:vAlign w:val="bottom"/>
          </w:tcPr>
          <w:p>
            <w:pPr>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63,000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3,733</w:t>
            </w:r>
          </w:p>
        </w:tc>
        <w:tc>
          <w:tcPr>
            <w:tcW w:w="11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4,048</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2"/>
        </w:trPr>
        <w:tc>
          <w:tcPr>
            <w:tcW w:w="2940" w:type="dxa"/>
            <w:vAlign w:val="bottom"/>
          </w:tcPr>
          <w:p>
            <w:pPr>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22,000</w:t>
            </w:r>
          </w:p>
        </w:tc>
        <w:tc>
          <w:tcPr>
            <w:tcW w:w="11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2"/>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2022 Notes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2940" w:type="dxa"/>
            <w:vAlign w:val="bottom"/>
          </w:tcPr>
          <w:p>
            <w:pPr>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37,375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7,014</w:t>
            </w:r>
          </w:p>
        </w:tc>
        <w:tc>
          <w:tcPr>
            <w:tcW w:w="11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25.52</w:t>
            </w:r>
          </w:p>
        </w:tc>
        <w:tc>
          <w:tcPr>
            <w:tcW w:w="80" w:type="dxa"/>
            <w:vAlign w:val="bottom"/>
          </w:tcPr>
          <w:p>
            <w:pPr>
              <w:spacing w:after="0"/>
              <w:rPr>
                <w:sz w:val="18"/>
                <w:szCs w:val="18"/>
                <w:color w:val="auto"/>
              </w:rPr>
            </w:pP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37,375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6,166</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80" w:type="dxa"/>
            <w:vAlign w:val="bottom"/>
            <w:shd w:val="clear" w:color="auto" w:fill="CCEEFF"/>
          </w:tcPr>
          <w:p>
            <w:pPr>
              <w:spacing w:after="0"/>
              <w:rPr>
                <w:sz w:val="18"/>
                <w:szCs w:val="18"/>
                <w:color w:val="auto"/>
              </w:rPr>
            </w:pPr>
          </w:p>
        </w:tc>
      </w:tr>
      <w:tr>
        <w:trPr>
          <w:trHeight w:val="212"/>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2019 Notes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2"/>
        </w:trPr>
        <w:tc>
          <w:tcPr>
            <w:tcW w:w="2940" w:type="dxa"/>
            <w:vAlign w:val="bottom"/>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7,127</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80" w:type="dxa"/>
            <w:vAlign w:val="bottom"/>
            <w:shd w:val="clear" w:color="auto" w:fill="CCEEFF"/>
          </w:tcPr>
          <w:p>
            <w:pPr>
              <w:spacing w:after="0"/>
              <w:rPr>
                <w:sz w:val="18"/>
                <w:szCs w:val="18"/>
                <w:color w:val="auto"/>
              </w:rPr>
            </w:pPr>
          </w:p>
        </w:tc>
      </w:tr>
      <w:tr>
        <w:trPr>
          <w:trHeight w:val="212"/>
        </w:trPr>
        <w:tc>
          <w:tcPr>
            <w:tcW w:w="2940" w:type="dxa"/>
            <w:vAlign w:val="bottom"/>
          </w:tcPr>
          <w:p>
            <w:pPr>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33,000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8,342</w:t>
            </w:r>
          </w:p>
        </w:tc>
        <w:tc>
          <w:tcPr>
            <w:tcW w:w="11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25.26</w:t>
            </w:r>
          </w:p>
        </w:tc>
        <w:tc>
          <w:tcPr>
            <w:tcW w:w="80" w:type="dxa"/>
            <w:vAlign w:val="bottom"/>
          </w:tcPr>
          <w:p>
            <w:pPr>
              <w:spacing w:after="0"/>
              <w:rPr>
                <w:sz w:val="18"/>
                <w:szCs w:val="18"/>
                <w:color w:val="auto"/>
              </w:rPr>
            </w:pP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6,667</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80" w:type="dxa"/>
            <w:vAlign w:val="bottom"/>
            <w:shd w:val="clear" w:color="auto" w:fill="CCEEFF"/>
          </w:tcPr>
          <w:p>
            <w:pPr>
              <w:spacing w:after="0"/>
              <w:rPr>
                <w:sz w:val="18"/>
                <w:szCs w:val="18"/>
                <w:color w:val="auto"/>
              </w:rPr>
            </w:pPr>
          </w:p>
        </w:tc>
      </w:tr>
      <w:tr>
        <w:trPr>
          <w:trHeight w:val="212"/>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2013-1 Securitization</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2"/>
        </w:trPr>
        <w:tc>
          <w:tcPr>
            <w:tcW w:w="2940" w:type="dxa"/>
            <w:vAlign w:val="bottom"/>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2"/>
        </w:trPr>
        <w:tc>
          <w:tcPr>
            <w:tcW w:w="2940" w:type="dxa"/>
            <w:vAlign w:val="bottom"/>
          </w:tcPr>
          <w:p>
            <w:pPr>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14,546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18,926</w:t>
            </w:r>
          </w:p>
        </w:tc>
        <w:tc>
          <w:tcPr>
            <w:tcW w:w="11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38,753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5,677</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2"/>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Total senior securities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127,875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2,050</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2"/>
        </w:trPr>
        <w:tc>
          <w:tcPr>
            <w:tcW w:w="2940" w:type="dxa"/>
            <w:vAlign w:val="bottom"/>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95,375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2,416</w:t>
            </w:r>
          </w:p>
        </w:tc>
        <w:tc>
          <w:tcPr>
            <w:tcW w:w="11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2,450</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212"/>
        </w:trPr>
        <w:tc>
          <w:tcPr>
            <w:tcW w:w="2940" w:type="dxa"/>
            <w:vAlign w:val="bottom"/>
          </w:tcPr>
          <w:p>
            <w:pPr>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115,546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2,383</w:t>
            </w:r>
          </w:p>
        </w:tc>
        <w:tc>
          <w:tcPr>
            <w:tcW w:w="11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81,753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2,691</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448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6" w:lineRule="exact"/>
        <w:rPr>
          <w:sz w:val="20"/>
          <w:szCs w:val="20"/>
          <w:color w:val="auto"/>
        </w:rPr>
      </w:pPr>
    </w:p>
    <w:p>
      <w:pPr>
        <w:ind w:left="320" w:hanging="314"/>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Total amount of senior securities outstanding at the end of the period presented.</w:t>
      </w:r>
    </w:p>
    <w:p>
      <w:pPr>
        <w:spacing w:after="0" w:line="16" w:lineRule="exact"/>
        <w:rPr>
          <w:rFonts w:ascii="Arial" w:cs="Arial" w:eastAsia="Arial" w:hAnsi="Arial"/>
          <w:sz w:val="18"/>
          <w:szCs w:val="18"/>
          <w:color w:val="auto"/>
        </w:rPr>
      </w:pPr>
    </w:p>
    <w:p>
      <w:pPr>
        <w:jc w:val="both"/>
        <w:ind w:left="320" w:hanging="314"/>
        <w:spacing w:after="0" w:line="245" w:lineRule="auto"/>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Asset coverage per unit is the ratio of the original cost less accumulated depreciation, amortization or impairment of the Company’s total consolidated assets, less all liabilities and indebtedness not represented by senior securities, to the aggregate amount of senior securities representing indebtedness. Asset coverage per unit is expressed in terms of dollar amounts per $1,000 of indebtedness.</w:t>
      </w:r>
    </w:p>
    <w:p>
      <w:pPr>
        <w:spacing w:after="0" w:line="2" w:lineRule="exact"/>
        <w:rPr>
          <w:rFonts w:ascii="Arial" w:cs="Arial" w:eastAsia="Arial" w:hAnsi="Arial"/>
          <w:sz w:val="18"/>
          <w:szCs w:val="18"/>
          <w:color w:val="auto"/>
        </w:rPr>
      </w:pPr>
    </w:p>
    <w:p>
      <w:pPr>
        <w:jc w:val="both"/>
        <w:ind w:left="320" w:hanging="314"/>
        <w:spacing w:after="0" w:line="245" w:lineRule="auto"/>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which the holder of such class of senior security would be entitled upon the voluntary liquidation of the applicable issuer in preference to any security junior to it. The “ — ” in this column indicates that the SEC expressly does not require this information to be disclosed for certain types of securities.</w:t>
      </w:r>
    </w:p>
    <w:p>
      <w:pPr>
        <w:spacing w:after="0" w:line="2" w:lineRule="exact"/>
        <w:rPr>
          <w:rFonts w:ascii="Arial" w:cs="Arial" w:eastAsia="Arial" w:hAnsi="Arial"/>
          <w:sz w:val="18"/>
          <w:szCs w:val="18"/>
          <w:color w:val="auto"/>
        </w:rPr>
      </w:pPr>
    </w:p>
    <w:p>
      <w:pPr>
        <w:ind w:left="320" w:hanging="314"/>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applicable to the Company’s credit facilities and 2013-1 Securitization because such securities are not registered for public trading.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Federal income tax</w:t>
      </w:r>
    </w:p>
    <w:p>
      <w:pPr>
        <w:spacing w:after="0" w:line="22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 has elected to be treated as a RIC under Subchapter M of the Code and to distribute substantially all of its taxable income. Accordingly, no provision for federal, state or local income tax has been recorded in the financial statements. Taxable income differs from net increase in net assets resulting from operations primarily due to unrealized appreciation on investments as investment gains and losses are not included in taxable income until they are realized.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7"/>
          <w:szCs w:val="17"/>
          <w:b w:val="1"/>
          <w:bCs w:val="1"/>
          <w:color w:val="auto"/>
        </w:rPr>
        <w:t>Horizon Technology Finance Corporation and Subsidiaries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reconciles net increase (decrease) in net assets resulting from operations to taxable income:</w:t>
      </w:r>
    </w:p>
    <w:p>
      <w:pPr>
        <w:sectPr>
          <w:pgSz w:w="11900" w:h="16838" w:orient="portrait"/>
          <w:cols w:equalWidth="0" w:num="1">
            <w:col w:w="11420"/>
          </w:cols>
          <w:pgMar w:left="240" w:top="89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color w:val="auto"/>
        </w:rPr>
        <w:t>Net increase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49160" cy="134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Net unrealized depreciation (appreciation) on investments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Other book-tax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49160" cy="134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 in capital loss carry forward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Taxable income before deductions for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249160" cy="1600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9160" cy="160020"/>
                    </a:xfrm>
                    <a:prstGeom prst="rect">
                      <a:avLst/>
                    </a:prstGeom>
                    <a:noFill/>
                  </pic:spPr>
                </pic:pic>
              </a:graphicData>
            </a:graphic>
          </wp:anchor>
        </w:drawing>
      </w:r>
    </w:p>
    <w:p>
      <w:pPr>
        <w:spacing w:after="0" w:line="2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tax characters of distributions paid are as follows: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Years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9"/>
                <w:szCs w:val="19"/>
                <w:color w:val="auto"/>
              </w:rPr>
            </w:pPr>
          </w:p>
        </w:tc>
      </w:tr>
      <w:tr>
        <w:trPr>
          <w:trHeight w:val="193"/>
        </w:trPr>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300"/>
              <w:spacing w:after="0" w:line="193" w:lineRule="exact"/>
              <w:rPr>
                <w:sz w:val="20"/>
                <w:szCs w:val="20"/>
                <w:color w:val="auto"/>
              </w:rPr>
            </w:pPr>
            <w:r>
              <w:rPr>
                <w:rFonts w:ascii="Arial" w:cs="Arial" w:eastAsia="Arial" w:hAnsi="Arial"/>
                <w:sz w:val="18"/>
                <w:szCs w:val="18"/>
                <w:b w:val="1"/>
                <w:bCs w:val="1"/>
                <w:color w:val="auto"/>
                <w:w w:val="90"/>
              </w:rPr>
              <w:t>(In thousands)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13,010</w:t>
            </w:r>
          </w:p>
        </w:tc>
        <w:tc>
          <w:tcPr>
            <w:tcW w:w="3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9,591</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(4,913)</w:t>
            </w:r>
          </w:p>
        </w:tc>
      </w:tr>
      <w:tr>
        <w:trPr>
          <w:trHeight w:val="212"/>
        </w:trPr>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(18,485)</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14,236</w:t>
            </w:r>
          </w:p>
        </w:tc>
        <w:tc>
          <w:tcPr>
            <w:tcW w:w="60" w:type="dxa"/>
            <w:vAlign w:val="bottom"/>
          </w:tcPr>
          <w:p>
            <w:pPr>
              <w:spacing w:after="0"/>
              <w:rPr>
                <w:sz w:val="18"/>
                <w:szCs w:val="18"/>
                <w:color w:val="auto"/>
              </w:rPr>
            </w:pPr>
          </w:p>
        </w:tc>
      </w:tr>
      <w:tr>
        <w:trPr>
          <w:trHeight w:val="212"/>
        </w:trPr>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806</w:t>
            </w:r>
          </w:p>
        </w:tc>
        <w:tc>
          <w:tcPr>
            <w:tcW w:w="2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(844)</w:t>
            </w:r>
          </w:p>
        </w:tc>
      </w:tr>
      <w:tr>
        <w:trPr>
          <w:trHeight w:val="237"/>
        </w:trPr>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21,191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7,776</w:t>
            </w:r>
          </w:p>
        </w:tc>
        <w:tc>
          <w:tcPr>
            <w:tcW w:w="60" w:type="dxa"/>
            <w:vAlign w:val="bottom"/>
          </w:tcPr>
          <w:p>
            <w:pPr>
              <w:spacing w:after="0"/>
              <w:rPr>
                <w:sz w:val="20"/>
                <w:szCs w:val="20"/>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9"/>
        </w:trPr>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14,065</w:t>
            </w:r>
          </w:p>
        </w:tc>
        <w:tc>
          <w:tcPr>
            <w:tcW w:w="140" w:type="dxa"/>
            <w:vAlign w:val="bottom"/>
          </w:tcPr>
          <w:p>
            <w:pPr>
              <w:spacing w:after="0"/>
              <w:rPr>
                <w:sz w:val="19"/>
                <w:szCs w:val="19"/>
                <w:color w:val="auto"/>
              </w:rPr>
            </w:pPr>
          </w:p>
        </w:tc>
        <w:tc>
          <w:tcPr>
            <w:tcW w:w="3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13,103</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16,255</w:t>
            </w:r>
          </w:p>
        </w:tc>
        <w:tc>
          <w:tcPr>
            <w:tcW w:w="60" w:type="dxa"/>
            <w:vAlign w:val="bottom"/>
          </w:tcPr>
          <w:p>
            <w:pPr>
              <w:spacing w:after="0"/>
              <w:rPr>
                <w:sz w:val="19"/>
                <w:szCs w:val="19"/>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95" w:lineRule="exact"/>
        <w:rPr>
          <w:sz w:val="20"/>
          <w:szCs w:val="20"/>
          <w:color w:val="auto"/>
        </w:rPr>
      </w:pPr>
    </w:p>
    <w:p>
      <w:pPr>
        <w:sectPr>
          <w:pgSz w:w="11900" w:h="16838" w:orient="portrait"/>
          <w:cols w:equalWidth="0" w:num="2">
            <w:col w:w="6380" w:space="720"/>
            <w:col w:w="4320"/>
          </w:cols>
          <w:pgMar w:left="240" w:top="890" w:right="239" w:bottom="1440" w:gutter="0" w:footer="0" w:header="0"/>
          <w:type w:val="continuous"/>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jc w:val="center"/>
              <w:ind w:left="592"/>
              <w:spacing w:after="0"/>
              <w:rPr>
                <w:sz w:val="20"/>
                <w:szCs w:val="20"/>
                <w:color w:val="auto"/>
              </w:rPr>
            </w:pPr>
            <w:r>
              <w:rPr>
                <w:rFonts w:ascii="Arial" w:cs="Arial" w:eastAsia="Arial" w:hAnsi="Arial"/>
                <w:sz w:val="18"/>
                <w:szCs w:val="18"/>
                <w:b w:val="1"/>
                <w:bCs w:val="1"/>
                <w:color w:val="auto"/>
                <w:w w:val="87"/>
              </w:rPr>
              <w:t>Years Ended December 31,</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3"/>
          </w:tcPr>
          <w:p>
            <w:pPr>
              <w:jc w:val="center"/>
              <w:ind w:right="183"/>
              <w:spacing w:after="0" w:line="206" w:lineRule="exact"/>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13,834</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13,818</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15,759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100" w:type="dxa"/>
            <w:vAlign w:val="bottom"/>
            <w:vMerge w:val="continue"/>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13,834</w:t>
            </w:r>
          </w:p>
        </w:tc>
        <w:tc>
          <w:tcPr>
            <w:tcW w:w="80" w:type="dxa"/>
            <w:vAlign w:val="bottom"/>
          </w:tcPr>
          <w:p>
            <w:pPr>
              <w:spacing w:after="0"/>
              <w:rPr>
                <w:sz w:val="18"/>
                <w:szCs w:val="18"/>
                <w:color w:val="auto"/>
              </w:rPr>
            </w:pPr>
          </w:p>
        </w:tc>
        <w:tc>
          <w:tcPr>
            <w:tcW w:w="4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13,818</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ind w:left="320"/>
              <w:spacing w:after="0"/>
              <w:rPr>
                <w:sz w:val="20"/>
                <w:szCs w:val="20"/>
                <w:color w:val="auto"/>
              </w:rPr>
            </w:pPr>
            <w:r>
              <w:rPr>
                <w:rFonts w:ascii="Arial" w:cs="Arial" w:eastAsia="Arial" w:hAnsi="Arial"/>
                <w:sz w:val="18"/>
                <w:szCs w:val="18"/>
                <w:color w:val="auto"/>
                <w:w w:val="94"/>
              </w:rPr>
              <w:t>The components of undistributed ordinary income earnings on a tax basis were as follows: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7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ind w:right="23"/>
              <w:spacing w:after="0"/>
              <w:rPr>
                <w:sz w:val="20"/>
                <w:szCs w:val="20"/>
                <w:color w:val="auto"/>
              </w:rPr>
            </w:pPr>
            <w:r>
              <w:rPr>
                <w:rFonts w:ascii="Arial" w:cs="Arial" w:eastAsia="Arial" w:hAnsi="Arial"/>
                <w:sz w:val="18"/>
                <w:szCs w:val="18"/>
                <w:b w:val="1"/>
                <w:bCs w:val="1"/>
                <w:color w:val="auto"/>
                <w:w w:val="87"/>
              </w:rPr>
              <w:t>As of December 31,</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3"/>
          </w:tcPr>
          <w:p>
            <w:pPr>
              <w:jc w:val="center"/>
              <w:ind w:right="183"/>
              <w:spacing w:after="0" w:line="206" w:lineRule="exact"/>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1,269</w:t>
            </w:r>
          </w:p>
        </w:tc>
        <w:tc>
          <w:tcPr>
            <w:tcW w:w="4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1,036</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00" w:type="dxa"/>
            <w:vAlign w:val="bottom"/>
          </w:tcPr>
          <w:p>
            <w:pPr>
              <w:spacing w:after="0"/>
              <w:rPr>
                <w:sz w:val="20"/>
                <w:szCs w:val="20"/>
                <w:color w:val="auto"/>
              </w:rPr>
            </w:pPr>
            <w:r>
              <w:rPr>
                <w:rFonts w:ascii="Arial" w:cs="Arial" w:eastAsia="Arial" w:hAnsi="Arial"/>
                <w:sz w:val="18"/>
                <w:szCs w:val="18"/>
                <w:color w:val="auto"/>
              </w:rPr>
              <w:t>Long term capital loss carry forward</w:t>
            </w: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(41,057)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3"/>
              <w:spacing w:after="0"/>
              <w:rPr>
                <w:sz w:val="20"/>
                <w:szCs w:val="20"/>
                <w:color w:val="auto"/>
              </w:rPr>
            </w:pPr>
            <w:r>
              <w:rPr>
                <w:rFonts w:ascii="Arial" w:cs="Arial" w:eastAsia="Arial" w:hAnsi="Arial"/>
                <w:sz w:val="18"/>
                <w:szCs w:val="18"/>
                <w:color w:val="auto"/>
              </w:rPr>
              <w:t>(41,702)</w:t>
            </w:r>
          </w:p>
        </w:tc>
        <w:tc>
          <w:tcPr>
            <w:tcW w:w="3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(20,511)</w:t>
            </w:r>
          </w:p>
        </w:tc>
        <w:tc>
          <w:tcPr>
            <w:tcW w:w="0" w:type="dxa"/>
            <w:vAlign w:val="bottom"/>
          </w:tcPr>
          <w:p>
            <w:pPr>
              <w:spacing w:after="0"/>
              <w:rPr>
                <w:sz w:val="1"/>
                <w:szCs w:val="1"/>
                <w:color w:val="auto"/>
              </w:rPr>
            </w:pPr>
          </w:p>
        </w:tc>
      </w:tr>
      <w:tr>
        <w:trPr>
          <w:trHeight w:val="212"/>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5,237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6,049</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00" w:type="dxa"/>
            <w:vAlign w:val="bottom"/>
          </w:tcPr>
          <w:p>
            <w:pPr>
              <w:spacing w:after="0"/>
              <w:rPr>
                <w:sz w:val="20"/>
                <w:szCs w:val="20"/>
                <w:color w:val="auto"/>
              </w:rPr>
            </w:pPr>
            <w:r>
              <w:rPr>
                <w:rFonts w:ascii="Arial" w:cs="Arial" w:eastAsia="Arial" w:hAnsi="Arial"/>
                <w:sz w:val="18"/>
                <w:szCs w:val="18"/>
                <w:color w:val="auto"/>
              </w:rPr>
              <w:t>Unrealized depreciation</w:t>
            </w: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3"/>
              <w:spacing w:after="0"/>
              <w:rPr>
                <w:sz w:val="20"/>
                <w:szCs w:val="20"/>
                <w:color w:val="auto"/>
              </w:rPr>
            </w:pPr>
            <w:r>
              <w:rPr>
                <w:rFonts w:ascii="Arial" w:cs="Arial" w:eastAsia="Arial" w:hAnsi="Arial"/>
                <w:sz w:val="18"/>
                <w:szCs w:val="18"/>
                <w:color w:val="auto"/>
              </w:rPr>
              <w:t>(7,027)</w:t>
            </w:r>
          </w:p>
        </w:tc>
        <w:tc>
          <w:tcPr>
            <w:tcW w:w="3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(23,293)</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00" w:type="dxa"/>
            <w:vAlign w:val="bottom"/>
          </w:tcPr>
          <w:p>
            <w:pPr>
              <w:spacing w:after="0" w:line="203" w:lineRule="exact"/>
              <w:rPr>
                <w:sz w:val="20"/>
                <w:szCs w:val="20"/>
                <w:color w:val="auto"/>
              </w:rPr>
            </w:pPr>
            <w:r>
              <w:rPr>
                <w:rFonts w:ascii="Arial" w:cs="Arial" w:eastAsia="Arial" w:hAnsi="Arial"/>
                <w:sz w:val="18"/>
                <w:szCs w:val="18"/>
                <w:color w:val="auto"/>
              </w:rPr>
              <w:t>Total</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(39,145</w:t>
            </w:r>
          </w:p>
        </w:tc>
        <w:tc>
          <w:tcPr>
            <w:tcW w:w="8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4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(38,689</w:t>
            </w:r>
          </w:p>
        </w:tc>
        <w:tc>
          <w:tcPr>
            <w:tcW w:w="200" w:type="dxa"/>
            <w:vAlign w:val="bottom"/>
          </w:tcPr>
          <w:p>
            <w:pPr>
              <w:jc w:val="right"/>
              <w:ind w:right="63"/>
              <w:spacing w:after="0"/>
              <w:rPr>
                <w:sz w:val="20"/>
                <w:szCs w:val="20"/>
                <w:color w:val="auto"/>
              </w:rPr>
            </w:pPr>
            <w:r>
              <w:rPr>
                <w:rFonts w:ascii="Arial" w:cs="Arial" w:eastAsia="Arial" w:hAnsi="Arial"/>
                <w:sz w:val="15"/>
                <w:szCs w:val="15"/>
                <w:color w:val="auto"/>
                <w:w w:val="79"/>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(36,052</w:t>
            </w:r>
          </w:p>
        </w:tc>
        <w:tc>
          <w:tcPr>
            <w:tcW w:w="100" w:type="dxa"/>
            <w:vAlign w:val="bottom"/>
            <w:gridSpan w:val="2"/>
          </w:tcPr>
          <w:p>
            <w:pPr>
              <w:jc w:val="right"/>
              <w:ind w:right="40"/>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distributions into the next tax year and incur a 4% excise tax on such income, as required. For the years ended December 31, 2018 and 2017, the Company elected to carry forward taxable income in excess of current year distributions of $1.3 million and $1.0 million, respectively. At December 31, 2018 and 2017, a provision for excise tax of $0.03 million was recorded.</w:t>
      </w:r>
    </w:p>
    <w:p>
      <w:pPr>
        <w:spacing w:after="0" w:line="19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Capital losses in excess of capital gains earned in a tax year may generally be carried forward, without expiration, and used to offset capital gains, subject to certain limitations. During the year ended December 31, 2018, the Company used $0.6 million of its capital loss carry forward to offset capital gains. During the years ended December 31, 2017 and 2016, the Company did not use any of its capital loss carry forward to offset capital gains.</w:t>
      </w:r>
    </w:p>
    <w:p>
      <w:pPr>
        <w:spacing w:after="0" w:line="17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federal income tax purposes, the tax cost of investments at December 31, 2018 and 2017 was $250.9 million and $223.1 million, respectively. The gross unrealized appreciation on investments at December 31, 2018 and 2017 was $5.2 million and $6.0 million, respectively. The gross unrealized depreciation on investments at December 31, 2018 and 2017 was $7.7 million and $7.0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 with off-balance-sheet risk</w:t>
      </w:r>
    </w:p>
    <w:p>
      <w:pPr>
        <w:spacing w:after="0" w:line="2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the normal course of business, the Company is party to financial instruments with off-balance-sheet risk to meet the financing needs of its borrowers. These financial instruments include commitments to extend credit and involve, to varying degrees, elements of credit risk in excess of the amount recognized in the consolidated statement of assets and liabilities. The Company attempts to limit its credit risk by conducting extensive due diligence and obtaining collateral where appropriate.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balance of unfunded commitments to extend credit was $27.5 million and $33.3 million as of December 31, 2018 and 2017, respectively. Commitments to extend credit consist principally of the unused portions of commitments that obligate the Company to extend credit, such as revolving credit arrangements or similar transactions. These commitments are often subject to financial or non-financial milestones and other conditions to borrow that must be achieved before the commitment can be drawn. In addition, the commitments generally have fixed expiration dates or other termination clauses. Since commitments may expire without being drawn upon, the total commitment amounts do not necessarily represent future cash requirements.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the Company’s unfunded commitments by portfolio company as of December 31, 2018:</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7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6"/>
          </w:tcPr>
          <w:p>
            <w:pPr>
              <w:ind w:left="300"/>
              <w:spacing w:after="0"/>
              <w:rPr>
                <w:sz w:val="20"/>
                <w:szCs w:val="20"/>
                <w:color w:val="auto"/>
              </w:rPr>
            </w:pPr>
            <w:r>
              <w:rPr>
                <w:rFonts w:ascii="Arial" w:cs="Arial" w:eastAsia="Arial" w:hAnsi="Arial"/>
                <w:sz w:val="18"/>
                <w:szCs w:val="18"/>
                <w:b w:val="1"/>
                <w:bCs w:val="1"/>
                <w:color w:val="auto"/>
              </w:rPr>
              <w:t>December 31, 2018</w:t>
            </w:r>
          </w:p>
        </w:tc>
      </w:tr>
      <w:tr>
        <w:trPr>
          <w:trHeight w:val="188"/>
        </w:trPr>
        <w:tc>
          <w:tcPr>
            <w:tcW w:w="7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20"/>
              <w:spacing w:after="0" w:line="189" w:lineRule="exact"/>
              <w:rPr>
                <w:sz w:val="20"/>
                <w:szCs w:val="20"/>
                <w:color w:val="auto"/>
              </w:rPr>
            </w:pPr>
            <w:r>
              <w:rPr>
                <w:rFonts w:ascii="Arial" w:cs="Arial" w:eastAsia="Arial" w:hAnsi="Arial"/>
                <w:sz w:val="18"/>
                <w:szCs w:val="18"/>
                <w:b w:val="1"/>
                <w:bCs w:val="1"/>
                <w:color w:val="auto"/>
                <w:w w:val="94"/>
              </w:rPr>
              <w:t>Fair Value of</w:t>
            </w:r>
          </w:p>
        </w:tc>
        <w:tc>
          <w:tcPr>
            <w:tcW w:w="100" w:type="dxa"/>
            <w:vAlign w:val="bottom"/>
            <w:gridSpan w:val="2"/>
          </w:tcPr>
          <w:p>
            <w:pPr>
              <w:spacing w:after="0"/>
              <w:rPr>
                <w:sz w:val="16"/>
                <w:szCs w:val="16"/>
                <w:color w:val="auto"/>
              </w:rPr>
            </w:pPr>
          </w:p>
        </w:tc>
      </w:tr>
      <w:tr>
        <w:trPr>
          <w:trHeight w:val="212"/>
        </w:trPr>
        <w:tc>
          <w:tcPr>
            <w:tcW w:w="7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Unfunded</w:t>
            </w:r>
          </w:p>
        </w:tc>
      </w:tr>
      <w:tr>
        <w:trPr>
          <w:trHeight w:val="212"/>
        </w:trPr>
        <w:tc>
          <w:tcPr>
            <w:tcW w:w="7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Principal</w:t>
            </w:r>
          </w:p>
        </w:tc>
        <w:tc>
          <w:tcPr>
            <w:tcW w:w="116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Commitment</w:t>
            </w:r>
          </w:p>
        </w:tc>
      </w:tr>
      <w:tr>
        <w:trPr>
          <w:trHeight w:val="229"/>
        </w:trPr>
        <w:tc>
          <w:tcPr>
            <w:tcW w:w="7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19"/>
                <w:szCs w:val="19"/>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Liability</w:t>
            </w:r>
          </w:p>
        </w:tc>
      </w:tr>
      <w:tr>
        <w:trPr>
          <w:trHeight w:val="206"/>
        </w:trPr>
        <w:tc>
          <w:tcPr>
            <w:tcW w:w="7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gridSpan w:val="4"/>
          </w:tcPr>
          <w:p>
            <w:pPr>
              <w:jc w:val="right"/>
              <w:ind w:right="512"/>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7"/>
                <w:szCs w:val="17"/>
                <w:color w:val="auto"/>
              </w:rPr>
            </w:pPr>
          </w:p>
        </w:tc>
      </w:tr>
      <w:tr>
        <w:trPr>
          <w:trHeight w:val="212"/>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Aerin Medical, Inc.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7280" w:type="dxa"/>
            <w:vAlign w:val="bottom"/>
          </w:tcPr>
          <w:p>
            <w:pPr>
              <w:spacing w:after="0"/>
              <w:rPr>
                <w:sz w:val="20"/>
                <w:szCs w:val="20"/>
                <w:color w:val="auto"/>
              </w:rPr>
            </w:pPr>
            <w:r>
              <w:rPr>
                <w:rFonts w:ascii="Arial" w:cs="Arial" w:eastAsia="Arial" w:hAnsi="Arial"/>
                <w:sz w:val="18"/>
                <w:szCs w:val="18"/>
                <w:color w:val="auto"/>
              </w:rPr>
              <w:t>CSA Medical, Inc.</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r>
      <w:tr>
        <w:trPr>
          <w:trHeight w:val="212"/>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Espero Biopharma, Inc.</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r>
      <w:tr>
        <w:trPr>
          <w:trHeight w:val="252"/>
        </w:trPr>
        <w:tc>
          <w:tcPr>
            <w:tcW w:w="7280" w:type="dxa"/>
            <w:vAlign w:val="bottom"/>
          </w:tcPr>
          <w:p>
            <w:pPr>
              <w:spacing w:after="0" w:line="252" w:lineRule="exact"/>
              <w:rPr>
                <w:sz w:val="20"/>
                <w:szCs w:val="20"/>
                <w:color w:val="auto"/>
              </w:rPr>
            </w:pPr>
            <w:r>
              <w:rPr>
                <w:rFonts w:ascii="Arial" w:cs="Arial" w:eastAsia="Arial" w:hAnsi="Arial"/>
                <w:sz w:val="18"/>
                <w:szCs w:val="18"/>
                <w:color w:val="auto"/>
              </w:rPr>
              <w:t>New Signature US, Inc.</w:t>
            </w:r>
            <w:r>
              <w:rPr>
                <w:rFonts w:ascii="Arial" w:cs="Arial" w:eastAsia="Arial" w:hAnsi="Arial"/>
                <w:sz w:val="29"/>
                <w:szCs w:val="29"/>
                <w:color w:val="auto"/>
                <w:vertAlign w:val="superscript"/>
              </w:rPr>
              <w:t>(1)</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StereoVision Imaging, Inc.</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8"/>
        </w:trPr>
        <w:tc>
          <w:tcPr>
            <w:tcW w:w="7280" w:type="dxa"/>
            <w:vAlign w:val="bottom"/>
          </w:tcPr>
          <w:p>
            <w:pPr>
              <w:spacing w:after="0" w:line="203"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134620</wp:posOffset>
            </wp:positionV>
            <wp:extent cx="10610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61085" cy="8255"/>
                    </a:xfrm>
                    <a:prstGeom prst="rect">
                      <a:avLst/>
                    </a:prstGeom>
                    <a:noFill/>
                  </pic:spPr>
                </pic:pic>
              </a:graphicData>
            </a:graphic>
          </wp:anchor>
        </w:drawing>
      </w:r>
    </w:p>
    <w:p>
      <w:pPr>
        <w:spacing w:after="0" w:line="206" w:lineRule="exact"/>
        <w:rPr>
          <w:sz w:val="20"/>
          <w:szCs w:val="20"/>
          <w:color w:val="auto"/>
        </w:rPr>
      </w:pPr>
    </w:p>
    <w:p>
      <w:pPr>
        <w:ind w:left="900" w:hanging="57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the Company’s portion of HSLFI’s commitment.</w:t>
      </w:r>
    </w:p>
    <w:p>
      <w:pPr>
        <w:spacing w:after="0" w:line="2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table above also provides the fair value of the Company’s unfunded commitment liability as of December 31, 2018 which totaled $0.3 million. The fair value at inception of the delay draw credit agreements is equal to the fees and/or warrants received to enter into these agreements, taking into account the remaining terms of the agreements and the counterparties’ credit profile. The unfunded commitment liability reflects the fair value of these future funding commitments and is included in the Company’s consolidated statement of assets and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ote 10. Concentrations of credit risk</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Company’s debt investments consist primarily of loans to development-stage companies at various stages of development in the technology, life science, healthcare information and services and cleantech industries. Many of these companies may have relatively limited operating histories and also may experience variation in operating results. Many of these companies conduct business in regulated industries and could be affected by changes in government regulations. Most of the Company’s borrowers will need additional capital to satisfy their continuing working capital needs and other requirements, and in many instances, to service the interest and principal payments on the loans.</w:t>
      </w:r>
    </w:p>
    <w:p>
      <w:pPr>
        <w:spacing w:after="0" w:line="19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Company’s largest debt investments may vary from year to year as new debt investments are recorded and existing debt investments are repaid. The Company’s five largest debt investments, at cost, represented 32% and 29% of total debt investments outstanding as of December 31, 2018 and 2017, respectively. No single debt investment represented more than 10% of the total debt investments as of December 31, 2018 or 2017. Investment income, consisting of interest and fees, can fluctuate significantly upon repayment of large debt investments. Interest income from the five largest debt investments accounted for 25%, 14% and 17% of total interest and fee income on investments for the years ended December 31, 2018, 2017 and 2016, respectively.</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Distributions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Company’s distributions are recorded on the declaration date. The following table summarizes the Company’s distribution activity for the years ended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DRIP</w:t>
            </w:r>
          </w:p>
        </w:tc>
        <w:tc>
          <w:tcPr>
            <w:tcW w:w="1340" w:type="dxa"/>
            <w:vAlign w:val="bottom"/>
          </w:tcPr>
          <w:p>
            <w:pPr>
              <w:jc w:val="right"/>
              <w:ind w:right="392"/>
              <w:spacing w:after="0"/>
              <w:rPr>
                <w:sz w:val="20"/>
                <w:szCs w:val="20"/>
                <w:color w:val="auto"/>
              </w:rPr>
            </w:pPr>
            <w:r>
              <w:rPr>
                <w:rFonts w:ascii="Arial" w:cs="Arial" w:eastAsia="Arial" w:hAnsi="Arial"/>
                <w:sz w:val="18"/>
                <w:szCs w:val="18"/>
                <w:b w:val="1"/>
                <w:bCs w:val="1"/>
                <w:color w:val="auto"/>
              </w:rPr>
              <w:t>DRIP</w:t>
            </w:r>
          </w:p>
        </w:tc>
      </w:tr>
      <w:tr>
        <w:trPr>
          <w:trHeight w:val="212"/>
        </w:trPr>
        <w:tc>
          <w:tcPr>
            <w:tcW w:w="1840" w:type="dxa"/>
            <w:vAlign w:val="bottom"/>
          </w:tcPr>
          <w:p>
            <w:pPr>
              <w:jc w:val="right"/>
              <w:ind w:right="832"/>
              <w:spacing w:after="0"/>
              <w:rPr>
                <w:sz w:val="20"/>
                <w:szCs w:val="20"/>
                <w:color w:val="auto"/>
              </w:rPr>
            </w:pPr>
            <w:r>
              <w:rPr>
                <w:rFonts w:ascii="Arial" w:cs="Arial" w:eastAsia="Arial" w:hAnsi="Arial"/>
                <w:sz w:val="18"/>
                <w:szCs w:val="18"/>
                <w:b w:val="1"/>
                <w:bCs w:val="1"/>
                <w:color w:val="auto"/>
              </w:rPr>
              <w:t>Date</w:t>
            </w:r>
          </w:p>
        </w:tc>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Cash</w:t>
            </w: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1340" w:type="dxa"/>
            <w:vAlign w:val="bottom"/>
          </w:tcPr>
          <w:p>
            <w:pPr>
              <w:jc w:val="right"/>
              <w:ind w:right="372"/>
              <w:spacing w:after="0"/>
              <w:rPr>
                <w:sz w:val="20"/>
                <w:szCs w:val="20"/>
                <w:color w:val="auto"/>
              </w:rPr>
            </w:pPr>
            <w:r>
              <w:rPr>
                <w:rFonts w:ascii="Arial" w:cs="Arial" w:eastAsia="Arial" w:hAnsi="Arial"/>
                <w:sz w:val="18"/>
                <w:szCs w:val="18"/>
                <w:b w:val="1"/>
                <w:bCs w:val="1"/>
                <w:color w:val="auto"/>
              </w:rPr>
              <w:t>Share</w:t>
            </w:r>
          </w:p>
        </w:tc>
      </w:tr>
      <w:tr>
        <w:trPr>
          <w:trHeight w:val="229"/>
        </w:trPr>
        <w:tc>
          <w:tcPr>
            <w:tcW w:w="1840" w:type="dxa"/>
            <w:vAlign w:val="bottom"/>
          </w:tcPr>
          <w:p>
            <w:pPr>
              <w:jc w:val="right"/>
              <w:ind w:right="652"/>
              <w:spacing w:after="0"/>
              <w:rPr>
                <w:sz w:val="20"/>
                <w:szCs w:val="20"/>
                <w:color w:val="auto"/>
              </w:rPr>
            </w:pPr>
            <w:r>
              <w:rPr>
                <w:rFonts w:ascii="Arial" w:cs="Arial" w:eastAsia="Arial" w:hAnsi="Arial"/>
                <w:sz w:val="18"/>
                <w:szCs w:val="18"/>
                <w:b w:val="1"/>
                <w:bCs w:val="1"/>
                <w:color w:val="auto"/>
              </w:rPr>
              <w:t>Declared</w:t>
            </w:r>
          </w:p>
        </w:tc>
        <w:tc>
          <w:tcPr>
            <w:tcW w:w="1680" w:type="dxa"/>
            <w:vAlign w:val="bottom"/>
          </w:tcPr>
          <w:p>
            <w:pPr>
              <w:jc w:val="right"/>
              <w:ind w:right="332"/>
              <w:spacing w:after="0"/>
              <w:rPr>
                <w:sz w:val="20"/>
                <w:szCs w:val="20"/>
                <w:color w:val="auto"/>
              </w:rPr>
            </w:pPr>
            <w:r>
              <w:rPr>
                <w:rFonts w:ascii="Arial" w:cs="Arial" w:eastAsia="Arial" w:hAnsi="Arial"/>
                <w:sz w:val="18"/>
                <w:szCs w:val="18"/>
                <w:b w:val="1"/>
                <w:bCs w:val="1"/>
                <w:color w:val="auto"/>
              </w:rPr>
              <w:t>Record Date</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Payment Date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Per Share</w:t>
            </w:r>
          </w:p>
        </w:tc>
        <w:tc>
          <w:tcPr>
            <w:tcW w:w="1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Distribution</w:t>
            </w: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Issued</w:t>
            </w:r>
          </w:p>
        </w:tc>
        <w:tc>
          <w:tcPr>
            <w:tcW w:w="1340" w:type="dxa"/>
            <w:vAlign w:val="bottom"/>
          </w:tcPr>
          <w:p>
            <w:pPr>
              <w:jc w:val="right"/>
              <w:ind w:right="372"/>
              <w:spacing w:after="0"/>
              <w:rPr>
                <w:sz w:val="20"/>
                <w:szCs w:val="20"/>
                <w:color w:val="auto"/>
              </w:rPr>
            </w:pPr>
            <w:r>
              <w:rPr>
                <w:rFonts w:ascii="Arial" w:cs="Arial" w:eastAsia="Arial" w:hAnsi="Arial"/>
                <w:sz w:val="18"/>
                <w:szCs w:val="18"/>
                <w:b w:val="1"/>
                <w:bCs w:val="1"/>
                <w:color w:val="auto"/>
              </w:rPr>
              <w:t>Value</w:t>
            </w:r>
          </w:p>
        </w:tc>
      </w:tr>
      <w:tr>
        <w:trPr>
          <w:trHeight w:val="206"/>
        </w:trPr>
        <w:tc>
          <w:tcPr>
            <w:tcW w:w="18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100" w:type="dxa"/>
            <w:vAlign w:val="bottom"/>
            <w:tcBorders>
              <w:top w:val="single" w:sz="8" w:color="auto"/>
            </w:tcBorders>
            <w:gridSpan w:val="6"/>
          </w:tcPr>
          <w:p>
            <w:pPr>
              <w:jc w:val="center"/>
              <w:ind w:right="72"/>
              <w:spacing w:after="0"/>
              <w:rPr>
                <w:sz w:val="20"/>
                <w:szCs w:val="20"/>
                <w:color w:val="auto"/>
              </w:rPr>
            </w:pPr>
            <w:r>
              <w:rPr>
                <w:rFonts w:ascii="Arial" w:cs="Arial" w:eastAsia="Arial" w:hAnsi="Arial"/>
                <w:sz w:val="18"/>
                <w:szCs w:val="18"/>
                <w:b w:val="1"/>
                <w:bCs w:val="1"/>
                <w:color w:val="auto"/>
                <w:w w:val="87"/>
              </w:rPr>
              <w:t>(In thousands, except share and per share data)</w:t>
            </w:r>
          </w:p>
        </w:tc>
        <w:tc>
          <w:tcPr>
            <w:tcW w:w="2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12"/>
        </w:trPr>
        <w:tc>
          <w:tcPr>
            <w:tcW w:w="3520" w:type="dxa"/>
            <w:vAlign w:val="bottom"/>
            <w:gridSpan w:val="2"/>
            <w:shd w:val="clear" w:color="auto" w:fill="CCEEFF"/>
          </w:tcPr>
          <w:p>
            <w:pPr>
              <w:jc w:val="right"/>
              <w:ind w:right="1172"/>
              <w:spacing w:after="0"/>
              <w:rPr>
                <w:sz w:val="20"/>
                <w:szCs w:val="20"/>
                <w:color w:val="auto"/>
              </w:rPr>
            </w:pPr>
            <w:r>
              <w:rPr>
                <w:rFonts w:ascii="Arial" w:cs="Arial" w:eastAsia="Arial" w:hAnsi="Arial"/>
                <w:sz w:val="18"/>
                <w:szCs w:val="18"/>
                <w:color w:val="auto"/>
                <w:w w:val="86"/>
              </w:rPr>
              <w:t>Year Ended December 31, 2018</w:t>
            </w: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2"/>
        </w:trPr>
        <w:tc>
          <w:tcPr>
            <w:tcW w:w="1840" w:type="dxa"/>
            <w:vAlign w:val="bottom"/>
          </w:tcPr>
          <w:p>
            <w:pPr>
              <w:jc w:val="right"/>
              <w:ind w:right="232"/>
              <w:spacing w:after="0"/>
              <w:rPr>
                <w:sz w:val="20"/>
                <w:szCs w:val="20"/>
                <w:color w:val="auto"/>
              </w:rPr>
            </w:pPr>
            <w:r>
              <w:rPr>
                <w:rFonts w:ascii="Arial" w:cs="Arial" w:eastAsia="Arial" w:hAnsi="Arial"/>
                <w:sz w:val="18"/>
                <w:szCs w:val="18"/>
                <w:color w:val="auto"/>
              </w:rPr>
              <w:t>10/26/18</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2/20/19</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3/15/19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1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10/26/18</w:t>
            </w:r>
          </w:p>
        </w:tc>
        <w:tc>
          <w:tcPr>
            <w:tcW w:w="1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1/17/19</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2/15/19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2"/>
        </w:trPr>
        <w:tc>
          <w:tcPr>
            <w:tcW w:w="1840" w:type="dxa"/>
            <w:vAlign w:val="bottom"/>
          </w:tcPr>
          <w:p>
            <w:pPr>
              <w:jc w:val="right"/>
              <w:ind w:right="232"/>
              <w:spacing w:after="0"/>
              <w:rPr>
                <w:sz w:val="20"/>
                <w:szCs w:val="20"/>
                <w:color w:val="auto"/>
              </w:rPr>
            </w:pPr>
            <w:r>
              <w:rPr>
                <w:rFonts w:ascii="Arial" w:cs="Arial" w:eastAsia="Arial" w:hAnsi="Arial"/>
                <w:sz w:val="18"/>
                <w:szCs w:val="18"/>
                <w:color w:val="auto"/>
              </w:rPr>
              <w:t>10/26/18</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12/18/18</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1/15/19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1,125</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1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7/27/18</w:t>
            </w:r>
          </w:p>
        </w:tc>
        <w:tc>
          <w:tcPr>
            <w:tcW w:w="1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11/19/18</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12/14/18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2"/>
        </w:trPr>
        <w:tc>
          <w:tcPr>
            <w:tcW w:w="1840" w:type="dxa"/>
            <w:vAlign w:val="bottom"/>
          </w:tcPr>
          <w:p>
            <w:pPr>
              <w:jc w:val="right"/>
              <w:ind w:right="232"/>
              <w:spacing w:after="0"/>
              <w:rPr>
                <w:sz w:val="20"/>
                <w:szCs w:val="20"/>
                <w:color w:val="auto"/>
              </w:rPr>
            </w:pPr>
            <w:r>
              <w:rPr>
                <w:rFonts w:ascii="Arial" w:cs="Arial" w:eastAsia="Arial" w:hAnsi="Arial"/>
                <w:sz w:val="18"/>
                <w:szCs w:val="18"/>
                <w:color w:val="auto"/>
              </w:rPr>
              <w:t>7/27/18</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10/18/18</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11/15/18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1,255</w:t>
            </w: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2"/>
        </w:trPr>
        <w:tc>
          <w:tcPr>
            <w:tcW w:w="1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7/27/18</w:t>
            </w:r>
          </w:p>
        </w:tc>
        <w:tc>
          <w:tcPr>
            <w:tcW w:w="1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9/18/18</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10/16/18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2"/>
        </w:trPr>
        <w:tc>
          <w:tcPr>
            <w:tcW w:w="1840" w:type="dxa"/>
            <w:vAlign w:val="bottom"/>
          </w:tcPr>
          <w:p>
            <w:pPr>
              <w:jc w:val="right"/>
              <w:ind w:right="232"/>
              <w:spacing w:after="0"/>
              <w:rPr>
                <w:sz w:val="20"/>
                <w:szCs w:val="20"/>
                <w:color w:val="auto"/>
              </w:rPr>
            </w:pPr>
            <w:r>
              <w:rPr>
                <w:rFonts w:ascii="Arial" w:cs="Arial" w:eastAsia="Arial" w:hAnsi="Arial"/>
                <w:sz w:val="18"/>
                <w:szCs w:val="18"/>
                <w:color w:val="auto"/>
              </w:rPr>
              <w:t>4/27/18</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8/17/18</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9/14/18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1,139</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1,212</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2"/>
        </w:trPr>
        <w:tc>
          <w:tcPr>
            <w:tcW w:w="1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4/27/18</w:t>
            </w:r>
          </w:p>
        </w:tc>
        <w:tc>
          <w:tcPr>
            <w:tcW w:w="1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7/19/18</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2"/>
        </w:trPr>
        <w:tc>
          <w:tcPr>
            <w:tcW w:w="1840" w:type="dxa"/>
            <w:vAlign w:val="bottom"/>
          </w:tcPr>
          <w:p>
            <w:pPr>
              <w:jc w:val="right"/>
              <w:ind w:right="232"/>
              <w:spacing w:after="0"/>
              <w:rPr>
                <w:sz w:val="20"/>
                <w:szCs w:val="20"/>
                <w:color w:val="auto"/>
              </w:rPr>
            </w:pPr>
            <w:r>
              <w:rPr>
                <w:rFonts w:ascii="Arial" w:cs="Arial" w:eastAsia="Arial" w:hAnsi="Arial"/>
                <w:sz w:val="18"/>
                <w:szCs w:val="18"/>
                <w:color w:val="auto"/>
              </w:rPr>
              <w:t>4/27/18</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6/19/18</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7/17/18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1,221</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1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3/1/18</w:t>
            </w:r>
          </w:p>
        </w:tc>
        <w:tc>
          <w:tcPr>
            <w:tcW w:w="1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5/17/18</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1840" w:type="dxa"/>
            <w:vAlign w:val="bottom"/>
          </w:tcPr>
          <w:p>
            <w:pPr>
              <w:jc w:val="right"/>
              <w:ind w:right="232"/>
              <w:spacing w:after="0"/>
              <w:rPr>
                <w:sz w:val="20"/>
                <w:szCs w:val="20"/>
                <w:color w:val="auto"/>
              </w:rPr>
            </w:pPr>
            <w:r>
              <w:rPr>
                <w:rFonts w:ascii="Arial" w:cs="Arial" w:eastAsia="Arial" w:hAnsi="Arial"/>
                <w:sz w:val="18"/>
                <w:szCs w:val="18"/>
                <w:color w:val="auto"/>
              </w:rPr>
              <w:t>3/1/18</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4/19/18</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5/15/18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1,287</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1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3/1/18</w:t>
            </w:r>
          </w:p>
        </w:tc>
        <w:tc>
          <w:tcPr>
            <w:tcW w:w="1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3/19/18</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4/17/18</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259"/>
        </w:trPr>
        <w:tc>
          <w:tcPr>
            <w:tcW w:w="18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12,531</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13,469</w:t>
            </w:r>
          </w:p>
        </w:tc>
        <w:tc>
          <w:tcPr>
            <w:tcW w:w="13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192"/>
        </w:trPr>
        <w:tc>
          <w:tcPr>
            <w:tcW w:w="3520" w:type="dxa"/>
            <w:vAlign w:val="bottom"/>
            <w:tcBorders>
              <w:top w:val="single" w:sz="8" w:color="CCEEFF"/>
            </w:tcBorders>
            <w:gridSpan w:val="2"/>
            <w:shd w:val="clear" w:color="auto" w:fill="CCEEFF"/>
          </w:tcPr>
          <w:p>
            <w:pPr>
              <w:jc w:val="right"/>
              <w:ind w:right="1172"/>
              <w:spacing w:after="0" w:line="191" w:lineRule="exact"/>
              <w:rPr>
                <w:sz w:val="20"/>
                <w:szCs w:val="20"/>
                <w:color w:val="auto"/>
              </w:rPr>
            </w:pPr>
            <w:r>
              <w:rPr>
                <w:rFonts w:ascii="Arial" w:cs="Arial" w:eastAsia="Arial" w:hAnsi="Arial"/>
                <w:sz w:val="18"/>
                <w:szCs w:val="18"/>
                <w:color w:val="auto"/>
                <w:w w:val="86"/>
              </w:rPr>
              <w:t>Year Ended December 31, 2017</w:t>
            </w:r>
          </w:p>
        </w:tc>
        <w:tc>
          <w:tcPr>
            <w:tcW w:w="13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r>
      <w:tr>
        <w:trPr>
          <w:trHeight w:val="212"/>
        </w:trPr>
        <w:tc>
          <w:tcPr>
            <w:tcW w:w="1840" w:type="dxa"/>
            <w:vAlign w:val="bottom"/>
          </w:tcPr>
          <w:p>
            <w:pPr>
              <w:jc w:val="right"/>
              <w:ind w:right="232"/>
              <w:spacing w:after="0"/>
              <w:rPr>
                <w:sz w:val="20"/>
                <w:szCs w:val="20"/>
                <w:color w:val="auto"/>
              </w:rPr>
            </w:pPr>
            <w:r>
              <w:rPr>
                <w:rFonts w:ascii="Arial" w:cs="Arial" w:eastAsia="Arial" w:hAnsi="Arial"/>
                <w:sz w:val="18"/>
                <w:szCs w:val="18"/>
                <w:color w:val="auto"/>
              </w:rPr>
              <w:t>10/27/17</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2/21/18</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3/15/18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1,241</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2"/>
        </w:trPr>
        <w:tc>
          <w:tcPr>
            <w:tcW w:w="1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10/27/17</w:t>
            </w:r>
          </w:p>
        </w:tc>
        <w:tc>
          <w:tcPr>
            <w:tcW w:w="1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1/22/18</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1840" w:type="dxa"/>
            <w:vAlign w:val="bottom"/>
          </w:tcPr>
          <w:p>
            <w:pPr>
              <w:jc w:val="right"/>
              <w:ind w:right="232"/>
              <w:spacing w:after="0"/>
              <w:rPr>
                <w:sz w:val="20"/>
                <w:szCs w:val="20"/>
                <w:color w:val="auto"/>
              </w:rPr>
            </w:pPr>
            <w:r>
              <w:rPr>
                <w:rFonts w:ascii="Arial" w:cs="Arial" w:eastAsia="Arial" w:hAnsi="Arial"/>
                <w:sz w:val="18"/>
                <w:szCs w:val="18"/>
                <w:color w:val="auto"/>
              </w:rPr>
              <w:t>10/27/17</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12/20/17</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1/17/18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1,139</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1,119</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1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7/28/17</w:t>
            </w:r>
          </w:p>
        </w:tc>
        <w:tc>
          <w:tcPr>
            <w:tcW w:w="1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11/20/17</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12/15/17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1840" w:type="dxa"/>
            <w:vAlign w:val="bottom"/>
          </w:tcPr>
          <w:p>
            <w:pPr>
              <w:jc w:val="right"/>
              <w:ind w:right="232"/>
              <w:spacing w:after="0"/>
              <w:rPr>
                <w:sz w:val="20"/>
                <w:szCs w:val="20"/>
                <w:color w:val="auto"/>
              </w:rPr>
            </w:pPr>
            <w:r>
              <w:rPr>
                <w:rFonts w:ascii="Arial" w:cs="Arial" w:eastAsia="Arial" w:hAnsi="Arial"/>
                <w:sz w:val="18"/>
                <w:szCs w:val="18"/>
                <w:color w:val="auto"/>
              </w:rPr>
              <w:t>7/28/17</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10/19/17</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11/15/17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1,139</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1,195</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1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7/28/17</w:t>
            </w:r>
          </w:p>
        </w:tc>
        <w:tc>
          <w:tcPr>
            <w:tcW w:w="1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9/20/17</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10/16/17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2"/>
        </w:trPr>
        <w:tc>
          <w:tcPr>
            <w:tcW w:w="1840" w:type="dxa"/>
            <w:vAlign w:val="bottom"/>
          </w:tcPr>
          <w:p>
            <w:pPr>
              <w:jc w:val="right"/>
              <w:ind w:right="232"/>
              <w:spacing w:after="0"/>
              <w:rPr>
                <w:sz w:val="20"/>
                <w:szCs w:val="20"/>
                <w:color w:val="auto"/>
              </w:rPr>
            </w:pPr>
            <w:r>
              <w:rPr>
                <w:rFonts w:ascii="Arial" w:cs="Arial" w:eastAsia="Arial" w:hAnsi="Arial"/>
                <w:sz w:val="18"/>
                <w:szCs w:val="18"/>
                <w:color w:val="auto"/>
              </w:rPr>
              <w:t>4/27/17</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8/18/17</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9/15/17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1,199</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1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4/27/17</w:t>
            </w:r>
          </w:p>
        </w:tc>
        <w:tc>
          <w:tcPr>
            <w:tcW w:w="1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7/20/17</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2"/>
        </w:trPr>
        <w:tc>
          <w:tcPr>
            <w:tcW w:w="1840" w:type="dxa"/>
            <w:vAlign w:val="bottom"/>
          </w:tcPr>
          <w:p>
            <w:pPr>
              <w:jc w:val="right"/>
              <w:ind w:right="232"/>
              <w:spacing w:after="0"/>
              <w:rPr>
                <w:sz w:val="20"/>
                <w:szCs w:val="20"/>
                <w:color w:val="auto"/>
              </w:rPr>
            </w:pPr>
            <w:r>
              <w:rPr>
                <w:rFonts w:ascii="Arial" w:cs="Arial" w:eastAsia="Arial" w:hAnsi="Arial"/>
                <w:sz w:val="18"/>
                <w:szCs w:val="18"/>
                <w:color w:val="auto"/>
              </w:rPr>
              <w:t>4/27/17</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6/20/17</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7/14/17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2"/>
        </w:trPr>
        <w:tc>
          <w:tcPr>
            <w:tcW w:w="1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3/3/17</w:t>
            </w:r>
          </w:p>
        </w:tc>
        <w:tc>
          <w:tcPr>
            <w:tcW w:w="1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5/19/17</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2"/>
        </w:trPr>
        <w:tc>
          <w:tcPr>
            <w:tcW w:w="1840" w:type="dxa"/>
            <w:vAlign w:val="bottom"/>
          </w:tcPr>
          <w:p>
            <w:pPr>
              <w:jc w:val="right"/>
              <w:ind w:right="232"/>
              <w:spacing w:after="0"/>
              <w:rPr>
                <w:sz w:val="20"/>
                <w:szCs w:val="20"/>
                <w:color w:val="auto"/>
              </w:rPr>
            </w:pPr>
            <w:r>
              <w:rPr>
                <w:rFonts w:ascii="Arial" w:cs="Arial" w:eastAsia="Arial" w:hAnsi="Arial"/>
                <w:sz w:val="18"/>
                <w:szCs w:val="18"/>
                <w:color w:val="auto"/>
              </w:rPr>
              <w:t>3/3/17</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4/21/17</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5/16/17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1,137</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1,287</w:t>
            </w: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1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3/3/17</w:t>
            </w:r>
          </w:p>
        </w:tc>
        <w:tc>
          <w:tcPr>
            <w:tcW w:w="1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3/20/17</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4/18/17</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219"/>
        </w:trPr>
        <w:tc>
          <w:tcPr>
            <w:tcW w:w="18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13,658</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14,693</w:t>
            </w:r>
          </w:p>
        </w:tc>
        <w:tc>
          <w:tcPr>
            <w:tcW w:w="13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0"/>
        </w:trPr>
        <w:tc>
          <w:tcPr>
            <w:tcW w:w="1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March 1, 2019, the Board declared monthly distributions per share, payable as set forth in the following table: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b w:val="1"/>
                <w:bCs w:val="1"/>
                <w:color w:val="auto"/>
              </w:rPr>
              <w:t>Ex-Dividend Date</w:t>
            </w:r>
          </w:p>
        </w:tc>
        <w:tc>
          <w:tcPr>
            <w:tcW w:w="120" w:type="dxa"/>
            <w:vAlign w:val="bottom"/>
          </w:tcPr>
          <w:p>
            <w:pPr>
              <w:spacing w:after="0"/>
              <w:rPr>
                <w:sz w:val="20"/>
                <w:szCs w:val="20"/>
                <w:color w:val="auto"/>
              </w:rPr>
            </w:pPr>
          </w:p>
        </w:tc>
        <w:tc>
          <w:tcPr>
            <w:tcW w:w="2600" w:type="dxa"/>
            <w:vAlign w:val="bottom"/>
          </w:tcPr>
          <w:p>
            <w:pPr>
              <w:ind w:left="820"/>
              <w:spacing w:after="0"/>
              <w:rPr>
                <w:sz w:val="20"/>
                <w:szCs w:val="20"/>
                <w:color w:val="auto"/>
              </w:rPr>
            </w:pPr>
            <w:r>
              <w:rPr>
                <w:rFonts w:ascii="Arial" w:cs="Arial" w:eastAsia="Arial" w:hAnsi="Arial"/>
                <w:sz w:val="18"/>
                <w:szCs w:val="18"/>
                <w:b w:val="1"/>
                <w:bCs w:val="1"/>
                <w:color w:val="auto"/>
              </w:rPr>
              <w:t>Record Date</w:t>
            </w:r>
          </w:p>
        </w:tc>
        <w:tc>
          <w:tcPr>
            <w:tcW w:w="100" w:type="dxa"/>
            <w:vAlign w:val="bottom"/>
          </w:tcPr>
          <w:p>
            <w:pPr>
              <w:spacing w:after="0"/>
              <w:rPr>
                <w:sz w:val="20"/>
                <w:szCs w:val="20"/>
                <w:color w:val="auto"/>
              </w:rPr>
            </w:pPr>
          </w:p>
        </w:tc>
        <w:tc>
          <w:tcPr>
            <w:tcW w:w="2600" w:type="dxa"/>
            <w:vAlign w:val="bottom"/>
          </w:tcPr>
          <w:p>
            <w:pPr>
              <w:ind w:left="780"/>
              <w:spacing w:after="0"/>
              <w:rPr>
                <w:sz w:val="20"/>
                <w:szCs w:val="20"/>
                <w:color w:val="auto"/>
              </w:rPr>
            </w:pPr>
            <w:r>
              <w:rPr>
                <w:rFonts w:ascii="Arial" w:cs="Arial" w:eastAsia="Arial" w:hAnsi="Arial"/>
                <w:sz w:val="18"/>
                <w:szCs w:val="18"/>
                <w:b w:val="1"/>
                <w:bCs w:val="1"/>
                <w:color w:val="auto"/>
              </w:rPr>
              <w:t>Payment Date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b w:val="1"/>
                <w:bCs w:val="1"/>
                <w:color w:val="auto"/>
              </w:rPr>
              <w:t>Distributions Declared</w:t>
            </w:r>
          </w:p>
        </w:tc>
      </w:tr>
      <w:tr>
        <w:trPr>
          <w:trHeight w:val="206"/>
        </w:trPr>
        <w:tc>
          <w:tcPr>
            <w:tcW w:w="27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May 16, 2019</w:t>
            </w:r>
          </w:p>
        </w:tc>
        <w:tc>
          <w:tcPr>
            <w:tcW w:w="120" w:type="dxa"/>
            <w:vAlign w:val="bottom"/>
            <w:tcBorders>
              <w:top w:val="single" w:sz="8" w:color="CCEEFF"/>
            </w:tcBorders>
            <w:shd w:val="clear" w:color="auto" w:fill="CCEEFF"/>
          </w:tcPr>
          <w:p>
            <w:pPr>
              <w:spacing w:after="0"/>
              <w:rPr>
                <w:sz w:val="17"/>
                <w:szCs w:val="17"/>
                <w:color w:val="auto"/>
              </w:rPr>
            </w:pPr>
          </w:p>
        </w:tc>
        <w:tc>
          <w:tcPr>
            <w:tcW w:w="26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May 17, 2019</w:t>
            </w:r>
          </w:p>
        </w:tc>
        <w:tc>
          <w:tcPr>
            <w:tcW w:w="100" w:type="dxa"/>
            <w:vAlign w:val="bottom"/>
            <w:tcBorders>
              <w:top w:val="single" w:sz="8" w:color="CCEEFF"/>
            </w:tcBorders>
            <w:shd w:val="clear" w:color="auto" w:fill="CCEEFF"/>
          </w:tcPr>
          <w:p>
            <w:pPr>
              <w:spacing w:after="0"/>
              <w:rPr>
                <w:sz w:val="17"/>
                <w:szCs w:val="17"/>
                <w:color w:val="auto"/>
              </w:rPr>
            </w:pPr>
          </w:p>
        </w:tc>
        <w:tc>
          <w:tcPr>
            <w:tcW w:w="26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June 17, 2019</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0.10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2720" w:type="dxa"/>
            <w:vAlign w:val="bottom"/>
          </w:tcPr>
          <w:p>
            <w:pPr>
              <w:spacing w:after="0"/>
              <w:rPr>
                <w:sz w:val="20"/>
                <w:szCs w:val="20"/>
                <w:color w:val="auto"/>
              </w:rPr>
            </w:pPr>
            <w:r>
              <w:rPr>
                <w:rFonts w:ascii="Arial" w:cs="Arial" w:eastAsia="Arial" w:hAnsi="Arial"/>
                <w:sz w:val="18"/>
                <w:szCs w:val="18"/>
                <w:color w:val="auto"/>
              </w:rPr>
              <w:t>April 17, 2019</w:t>
            </w:r>
          </w:p>
        </w:tc>
        <w:tc>
          <w:tcPr>
            <w:tcW w:w="2720" w:type="dxa"/>
            <w:vAlign w:val="bottom"/>
            <w:gridSpan w:val="2"/>
          </w:tcPr>
          <w:p>
            <w:pPr>
              <w:ind w:left="120"/>
              <w:spacing w:after="0"/>
              <w:rPr>
                <w:sz w:val="20"/>
                <w:szCs w:val="20"/>
                <w:color w:val="auto"/>
              </w:rPr>
            </w:pPr>
            <w:r>
              <w:rPr>
                <w:rFonts w:ascii="Arial" w:cs="Arial" w:eastAsia="Arial" w:hAnsi="Arial"/>
                <w:sz w:val="18"/>
                <w:szCs w:val="18"/>
                <w:color w:val="auto"/>
              </w:rPr>
              <w:t>April 18, 2019</w:t>
            </w: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May 15, 2019</w:t>
            </w:r>
          </w:p>
        </w:tc>
        <w:tc>
          <w:tcPr>
            <w:tcW w:w="34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r>
      <w:tr>
        <w:trPr>
          <w:trHeight w:val="212"/>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March 18, 2019</w:t>
            </w: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March 19, 2019</w:t>
            </w:r>
          </w:p>
        </w:tc>
        <w:tc>
          <w:tcPr>
            <w:tcW w:w="2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April 16, 2019</w:t>
            </w: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After paying distributions of $1.10 per share deemed paid for tax purposes in 2018, declaring on October 26, 2018 a distribution of $0.10 per share payable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January 15, 2019, and taxable earnings of $1.22 per share in 2018, the Company’s undistributed spillover income as of December 31, 2018 was $0.11 per share.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Spillover income includes any ordinary income and net capital gains from the preceding tax years that were not distributed during such tax years.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678"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w:t>
      </w:r>
    </w:p>
    <w:p>
      <w:pPr>
        <w:spacing w:after="0" w:line="2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March 5, 2019, the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highlights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financial highlights for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60" w:type="dxa"/>
            <w:vAlign w:val="bottom"/>
            <w:gridSpan w:val="7"/>
          </w:tcPr>
          <w:p>
            <w:pPr>
              <w:jc w:val="right"/>
              <w:ind w:right="112"/>
              <w:spacing w:after="0" w:line="206" w:lineRule="exact"/>
              <w:rPr>
                <w:sz w:val="20"/>
                <w:szCs w:val="20"/>
                <w:color w:val="auto"/>
              </w:rPr>
            </w:pPr>
            <w:r>
              <w:rPr>
                <w:rFonts w:ascii="Arial" w:cs="Arial" w:eastAsia="Arial" w:hAnsi="Arial"/>
                <w:sz w:val="18"/>
                <w:szCs w:val="18"/>
                <w:b w:val="1"/>
                <w:bCs w:val="1"/>
                <w:color w:val="auto"/>
                <w:w w:val="88"/>
              </w:rPr>
              <w:t>(In thousands, except share and per share data)</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3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11.72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12.09</w:t>
            </w:r>
          </w:p>
        </w:tc>
        <w:tc>
          <w:tcPr>
            <w:tcW w:w="26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13.85</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14.36</w:t>
            </w:r>
          </w:p>
        </w:tc>
        <w:tc>
          <w:tcPr>
            <w:tcW w:w="32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tcPr>
          <w:p>
            <w:pPr>
              <w:spacing w:after="0"/>
              <w:rPr>
                <w:sz w:val="20"/>
                <w:szCs w:val="20"/>
                <w:color w:val="auto"/>
              </w:rPr>
            </w:pPr>
            <w:r>
              <w:rPr>
                <w:rFonts w:ascii="Arial" w:cs="Arial" w:eastAsia="Arial" w:hAnsi="Arial"/>
                <w:sz w:val="18"/>
                <w:szCs w:val="18"/>
                <w:color w:val="auto"/>
              </w:rPr>
              <w:t>Realized gain (loss) on investments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8"/>
                <w:szCs w:val="18"/>
                <w:color w:val="auto"/>
              </w:rPr>
            </w:pP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(0.67)</w:t>
            </w:r>
          </w:p>
        </w:tc>
        <w:tc>
          <w:tcPr>
            <w:tcW w:w="300" w:type="dxa"/>
            <w:vAlign w:val="bottom"/>
          </w:tcPr>
          <w:p>
            <w:pPr>
              <w:spacing w:after="0"/>
              <w:rPr>
                <w:sz w:val="18"/>
                <w:szCs w:val="18"/>
                <w:color w:val="auto"/>
              </w:rPr>
            </w:pP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8"/>
                <w:szCs w:val="18"/>
                <w:color w:val="auto"/>
              </w:rPr>
            </w:pPr>
          </w:p>
        </w:tc>
        <w:tc>
          <w:tcPr>
            <w:tcW w:w="1080" w:type="dxa"/>
            <w:vAlign w:val="bottom"/>
            <w:gridSpan w:val="2"/>
          </w:tcPr>
          <w:p>
            <w:pPr>
              <w:jc w:val="right"/>
              <w:ind w:right="12"/>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0"/>
        </w:trPr>
        <w:tc>
          <w:tcPr>
            <w:tcW w:w="36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Unrealized (depreciation) appreciation on</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180"/>
        </w:trPr>
        <w:tc>
          <w:tcPr>
            <w:tcW w:w="3660" w:type="dxa"/>
            <w:vAlign w:val="bottom"/>
          </w:tcPr>
          <w:p>
            <w:pPr>
              <w:spacing w:after="0" w:line="180" w:lineRule="exact"/>
              <w:rPr>
                <w:sz w:val="20"/>
                <w:szCs w:val="20"/>
                <w:color w:val="auto"/>
              </w:rPr>
            </w:pPr>
            <w:r>
              <w:rPr>
                <w:rFonts w:ascii="Arial" w:cs="Arial" w:eastAsia="Arial" w:hAnsi="Arial"/>
                <w:sz w:val="18"/>
                <w:szCs w:val="18"/>
                <w:color w:val="auto"/>
                <w:w w:val="88"/>
              </w:rPr>
              <w:t>Net increase (decrease) in net assets resulting from</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100"/>
              <w:spacing w:after="0"/>
              <w:rPr>
                <w:sz w:val="20"/>
                <w:szCs w:val="20"/>
                <w:color w:val="auto"/>
              </w:rPr>
            </w:pPr>
            <w:r>
              <w:rPr>
                <w:rFonts w:ascii="Arial" w:cs="Arial" w:eastAsia="Arial" w:hAnsi="Arial"/>
                <w:sz w:val="18"/>
                <w:szCs w:val="18"/>
                <w:color w:val="auto"/>
              </w:rPr>
              <w:t>operations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(0.43)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72"/>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3"/>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dilution from issuance of common stock</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3660" w:type="dxa"/>
            <w:vAlign w:val="bottom"/>
          </w:tcPr>
          <w:p>
            <w:pPr>
              <w:spacing w:after="0" w:line="252" w:lineRule="exact"/>
              <w:rPr>
                <w:sz w:val="20"/>
                <w:szCs w:val="20"/>
                <w:color w:val="auto"/>
              </w:rPr>
            </w:pPr>
            <w:r>
              <w:rPr>
                <w:rFonts w:ascii="Arial" w:cs="Arial" w:eastAsia="Arial" w:hAnsi="Arial"/>
                <w:sz w:val="18"/>
                <w:szCs w:val="18"/>
                <w:color w:val="auto"/>
              </w:rPr>
              <w:t>Distributions declared</w:t>
            </w:r>
            <w:r>
              <w:rPr>
                <w:rFonts w:ascii="Arial" w:cs="Arial" w:eastAsia="Arial" w:hAnsi="Arial"/>
                <w:sz w:val="29"/>
                <w:szCs w:val="29"/>
                <w:color w:val="auto"/>
                <w:vertAlign w:val="superscript"/>
              </w:rPr>
              <w:t>(1)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1"/>
                <w:szCs w:val="21"/>
                <w:color w:val="auto"/>
              </w:rPr>
            </w:pPr>
          </w:p>
        </w:tc>
        <w:tc>
          <w:tcPr>
            <w:tcW w:w="1260" w:type="dxa"/>
            <w:vAlign w:val="bottom"/>
            <w:gridSpan w:val="2"/>
          </w:tcPr>
          <w:p>
            <w:pPr>
              <w:jc w:val="right"/>
              <w:ind w:right="132"/>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1"/>
                <w:szCs w:val="21"/>
                <w:color w:val="auto"/>
              </w:rPr>
            </w:pPr>
          </w:p>
        </w:tc>
        <w:tc>
          <w:tcPr>
            <w:tcW w:w="1200" w:type="dxa"/>
            <w:vAlign w:val="bottom"/>
            <w:gridSpan w:val="2"/>
          </w:tcPr>
          <w:p>
            <w:pPr>
              <w:jc w:val="right"/>
              <w:ind w:right="112"/>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21"/>
                <w:szCs w:val="21"/>
                <w:color w:val="auto"/>
              </w:rPr>
            </w:pP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21"/>
                <w:szCs w:val="21"/>
                <w:color w:val="auto"/>
              </w:rPr>
            </w:pPr>
          </w:p>
        </w:tc>
        <w:tc>
          <w:tcPr>
            <w:tcW w:w="1080" w:type="dxa"/>
            <w:vAlign w:val="bottom"/>
            <w:gridSpan w:val="2"/>
          </w:tcPr>
          <w:p>
            <w:pPr>
              <w:jc w:val="right"/>
              <w:ind w:right="1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From net investment income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2"/>
        </w:trPr>
        <w:tc>
          <w:tcPr>
            <w:tcW w:w="3660" w:type="dxa"/>
            <w:vAlign w:val="bottom"/>
          </w:tcPr>
          <w:p>
            <w:pPr>
              <w:ind w:left="320"/>
              <w:spacing w:after="0"/>
              <w:rPr>
                <w:sz w:val="20"/>
                <w:szCs w:val="20"/>
                <w:color w:val="auto"/>
              </w:rPr>
            </w:pPr>
            <w:r>
              <w:rPr>
                <w:rFonts w:ascii="Arial" w:cs="Arial" w:eastAsia="Arial" w:hAnsi="Arial"/>
                <w:sz w:val="18"/>
                <w:szCs w:val="18"/>
                <w:color w:val="auto"/>
              </w:rPr>
              <w:t>From net realized gain on investments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Return of capital</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660" w:type="dxa"/>
            <w:vAlign w:val="bottom"/>
          </w:tcPr>
          <w:p>
            <w:pPr>
              <w:spacing w:after="0"/>
              <w:rPr>
                <w:sz w:val="20"/>
                <w:szCs w:val="20"/>
                <w:color w:val="auto"/>
              </w:rPr>
            </w:pPr>
            <w:r>
              <w:rPr>
                <w:rFonts w:ascii="Arial" w:cs="Arial" w:eastAsia="Arial" w:hAnsi="Arial"/>
                <w:sz w:val="18"/>
                <w:szCs w:val="18"/>
                <w:color w:val="auto"/>
                <w:w w:val="94"/>
              </w:rPr>
              <w:t>Net accretion from repurchase of common 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3660" w:type="dxa"/>
            <w:vAlign w:val="bottom"/>
            <w:shd w:val="clear" w:color="auto" w:fill="CCEEFF"/>
          </w:tcPr>
          <w:p>
            <w:pPr>
              <w:spacing w:after="0" w:line="265"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9"/>
                <w:szCs w:val="29"/>
                <w:color w:val="auto"/>
                <w:vertAlign w:val="superscript"/>
              </w:rPr>
              <w:t>(2)</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tcBorders>
              <w:right w:val="single" w:sz="8" w:color="CCEEFF"/>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tcBorders>
              <w:right w:val="single" w:sz="8" w:color="CCEEFF"/>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at end of period</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660" w:type="dxa"/>
            <w:vAlign w:val="bottom"/>
            <w:vMerge w:val="continue"/>
          </w:tcPr>
          <w:p>
            <w:pPr>
              <w:spacing w:after="0"/>
              <w:rPr>
                <w:sz w:val="22"/>
                <w:szCs w:val="22"/>
                <w:color w:val="auto"/>
              </w:rPr>
            </w:pPr>
          </w:p>
        </w:tc>
        <w:tc>
          <w:tcPr>
            <w:tcW w:w="3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11.64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11.72</w:t>
            </w:r>
          </w:p>
        </w:tc>
        <w:tc>
          <w:tcPr>
            <w:tcW w:w="260" w:type="dxa"/>
            <w:vAlign w:val="bottom"/>
          </w:tcPr>
          <w:p>
            <w:pPr>
              <w:spacing w:after="0"/>
              <w:rPr>
                <w:sz w:val="22"/>
                <w:szCs w:val="22"/>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12.09</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13.85</w:t>
            </w:r>
          </w:p>
        </w:tc>
        <w:tc>
          <w:tcPr>
            <w:tcW w:w="320" w:type="dxa"/>
            <w:vAlign w:val="bottom"/>
          </w:tcPr>
          <w:p>
            <w:pPr>
              <w:spacing w:after="0"/>
              <w:rPr>
                <w:sz w:val="22"/>
                <w:szCs w:val="22"/>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66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8"/>
                <w:szCs w:val="18"/>
                <w:color w:val="auto"/>
              </w:rPr>
              <w:t>Per share market value, beginning of period</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11.22</w:t>
            </w: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10.53</w:t>
            </w: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11.73</w:t>
            </w:r>
          </w:p>
        </w:tc>
        <w:tc>
          <w:tcPr>
            <w:tcW w:w="260" w:type="dxa"/>
            <w:vAlign w:val="bottom"/>
            <w:tcBorders>
              <w:top w:val="single" w:sz="8" w:color="CCEEFF"/>
              <w:right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12"/>
              <w:spacing w:after="0" w:line="19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13.99</w:t>
            </w:r>
          </w:p>
        </w:tc>
        <w:tc>
          <w:tcPr>
            <w:tcW w:w="320" w:type="dxa"/>
            <w:vAlign w:val="bottom"/>
            <w:tcBorders>
              <w:top w:val="single" w:sz="8" w:color="CCEEFF"/>
              <w:right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14.21</w:t>
            </w: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6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11.25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10.53</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66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 xml:space="preserve">Total return based on a market value </w:t>
            </w:r>
            <w:r>
              <w:rPr>
                <w:rFonts w:ascii="Arial" w:cs="Arial" w:eastAsia="Arial" w:hAnsi="Arial"/>
                <w:sz w:val="29"/>
                <w:szCs w:val="29"/>
                <w:color w:val="auto"/>
                <w:vertAlign w:val="superscript"/>
              </w:rPr>
              <w:t>(3)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2"/>
        </w:trPr>
        <w:tc>
          <w:tcPr>
            <w:tcW w:w="36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11,535,129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11,520,406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11,510,424</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11,535,212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9,628,124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Ratios, net of waivers, to average net assets: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tcPr>
          <w:p>
            <w:pPr>
              <w:spacing w:after="0"/>
              <w:rPr>
                <w:sz w:val="20"/>
                <w:szCs w:val="20"/>
                <w:color w:val="auto"/>
              </w:rPr>
            </w:pPr>
            <w:r>
              <w:rPr>
                <w:rFonts w:ascii="Arial" w:cs="Arial" w:eastAsia="Arial" w:hAnsi="Arial"/>
                <w:sz w:val="18"/>
                <w:szCs w:val="18"/>
                <w:color w:val="auto"/>
              </w:rPr>
              <w:t>Expenses without incentive fees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2"/>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1260" w:type="dxa"/>
            <w:vAlign w:val="bottom"/>
            <w:gridSpan w:val="2"/>
          </w:tcPr>
          <w:p>
            <w:pPr>
              <w:jc w:val="right"/>
              <w:ind w:right="32"/>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1200" w:type="dxa"/>
            <w:vAlign w:val="bottom"/>
            <w:gridSpan w:val="2"/>
          </w:tcPr>
          <w:p>
            <w:pPr>
              <w:jc w:val="right"/>
              <w:ind w:right="32"/>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1200" w:type="dxa"/>
            <w:vAlign w:val="bottom"/>
            <w:gridSpan w:val="2"/>
          </w:tcPr>
          <w:p>
            <w:pPr>
              <w:jc w:val="right"/>
              <w:ind w:right="92"/>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8"/>
        </w:trPr>
        <w:tc>
          <w:tcPr>
            <w:tcW w:w="36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expenses</w:t>
            </w: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Borders>
              <w:bottom w:val="single" w:sz="8" w:color="CCEEFF"/>
            </w:tcBorders>
          </w:tcPr>
          <w:p>
            <w:pPr>
              <w:jc w:val="right"/>
              <w:ind w:right="32"/>
              <w:spacing w:after="0" w:line="203" w:lineRule="exact"/>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60" w:type="dxa"/>
            <w:vAlign w:val="bottom"/>
            <w:tcBorders>
              <w:bottom w:val="single" w:sz="8" w:color="CCEEFF"/>
            </w:tcBorders>
          </w:tcPr>
          <w:p>
            <w:pPr>
              <w:jc w:val="right"/>
              <w:ind w:right="32"/>
              <w:spacing w:after="0" w:line="203" w:lineRule="exact"/>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Borders>
              <w:bottom w:val="single" w:sz="8" w:color="CCEEFF"/>
            </w:tcBorders>
          </w:tcPr>
          <w:p>
            <w:pPr>
              <w:jc w:val="right"/>
              <w:ind w:right="32"/>
              <w:spacing w:after="0" w:line="203" w:lineRule="exact"/>
              <w:rPr>
                <w:sz w:val="20"/>
                <w:szCs w:val="20"/>
                <w:color w:val="auto"/>
              </w:rPr>
            </w:pPr>
            <w:r>
              <w:rPr>
                <w:rFonts w:ascii="Arial" w:cs="Arial" w:eastAsia="Arial" w:hAnsi="Arial"/>
                <w:sz w:val="18"/>
                <w:szCs w:val="18"/>
                <w:color w:val="auto"/>
                <w:w w:val="74"/>
              </w:rPr>
              <w:t>%</w:t>
            </w:r>
          </w:p>
        </w:tc>
        <w:tc>
          <w:tcPr>
            <w:tcW w:w="3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CCEEFF"/>
            </w:tcBorders>
          </w:tcPr>
          <w:p>
            <w:pPr>
              <w:jc w:val="right"/>
              <w:ind w:right="92"/>
              <w:spacing w:after="0" w:line="203" w:lineRule="exact"/>
              <w:rPr>
                <w:sz w:val="20"/>
                <w:szCs w:val="20"/>
                <w:color w:val="auto"/>
              </w:rPr>
            </w:pPr>
            <w:r>
              <w:rPr>
                <w:rFonts w:ascii="Arial" w:cs="Arial" w:eastAsia="Arial" w:hAnsi="Arial"/>
                <w:sz w:val="18"/>
                <w:szCs w:val="18"/>
                <w:color w:val="auto"/>
                <w:w w:val="74"/>
              </w:rPr>
              <w:t>%</w:t>
            </w: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Net investment income with incentive fees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
              <w:spacing w:after="0" w:line="193" w:lineRule="exact"/>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2"/>
              <w:spacing w:after="0" w:line="193" w:lineRule="exact"/>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2"/>
            <w:shd w:val="clear" w:color="auto" w:fill="CCEEFF"/>
          </w:tcPr>
          <w:p>
            <w:pPr>
              <w:jc w:val="right"/>
              <w:ind w:right="32"/>
              <w:spacing w:after="0" w:line="193" w:lineRule="exact"/>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6"/>
                <w:szCs w:val="16"/>
                <w:color w:val="auto"/>
              </w:rPr>
            </w:pPr>
          </w:p>
        </w:tc>
        <w:tc>
          <w:tcPr>
            <w:tcW w:w="1200" w:type="dxa"/>
            <w:vAlign w:val="bottom"/>
            <w:tcBorders>
              <w:right w:val="single" w:sz="8" w:color="CCEEFF"/>
            </w:tcBorders>
            <w:gridSpan w:val="2"/>
            <w:shd w:val="clear" w:color="auto" w:fill="CCEEFF"/>
          </w:tcPr>
          <w:p>
            <w:pPr>
              <w:jc w:val="right"/>
              <w:ind w:right="92"/>
              <w:spacing w:after="0" w:line="193" w:lineRule="exact"/>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2"/>
        </w:trPr>
        <w:tc>
          <w:tcPr>
            <w:tcW w:w="3660" w:type="dxa"/>
            <w:vAlign w:val="bottom"/>
          </w:tcPr>
          <w:p>
            <w:pPr>
              <w:spacing w:after="0"/>
              <w:rPr>
                <w:sz w:val="20"/>
                <w:szCs w:val="20"/>
                <w:color w:val="auto"/>
              </w:rPr>
            </w:pPr>
            <w:r>
              <w:rPr>
                <w:rFonts w:ascii="Arial" w:cs="Arial" w:eastAsia="Arial" w:hAnsi="Arial"/>
                <w:sz w:val="18"/>
                <w:szCs w:val="18"/>
                <w:b w:val="1"/>
                <w:bCs w:val="1"/>
                <w:color w:val="auto"/>
                <w:w w:val="91"/>
              </w:rPr>
              <w:t>Ratios, without waivers, to average net assets: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66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Expenses without incentive fees</w:t>
            </w:r>
            <w:r>
              <w:rPr>
                <w:rFonts w:ascii="Arial" w:cs="Arial" w:eastAsia="Arial" w:hAnsi="Arial"/>
                <w:sz w:val="29"/>
                <w:szCs w:val="29"/>
                <w:color w:val="auto"/>
                <w:vertAlign w:val="superscript"/>
              </w:rPr>
              <w:t>(4)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65"/>
        </w:trPr>
        <w:tc>
          <w:tcPr>
            <w:tcW w:w="3660" w:type="dxa"/>
            <w:vAlign w:val="bottom"/>
          </w:tcPr>
          <w:p>
            <w:pPr>
              <w:spacing w:after="0" w:line="265" w:lineRule="exact"/>
              <w:rPr>
                <w:sz w:val="20"/>
                <w:szCs w:val="20"/>
                <w:color w:val="auto"/>
              </w:rPr>
            </w:pPr>
            <w:r>
              <w:rPr>
                <w:rFonts w:ascii="Arial" w:cs="Arial" w:eastAsia="Arial" w:hAnsi="Arial"/>
                <w:sz w:val="18"/>
                <w:szCs w:val="18"/>
                <w:color w:val="auto"/>
              </w:rPr>
              <w:t>Incentive fees</w:t>
            </w:r>
            <w:r>
              <w:rPr>
                <w:rFonts w:ascii="Arial" w:cs="Arial" w:eastAsia="Arial" w:hAnsi="Arial"/>
                <w:sz w:val="29"/>
                <w:szCs w:val="29"/>
                <w:color w:val="auto"/>
                <w:vertAlign w:val="superscript"/>
              </w:rPr>
              <w:t>(4)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jc w:val="right"/>
              <w:ind w:right="32"/>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3"/>
                <w:szCs w:val="23"/>
                <w:color w:val="auto"/>
              </w:rPr>
            </w:pPr>
          </w:p>
        </w:tc>
        <w:tc>
          <w:tcPr>
            <w:tcW w:w="1260" w:type="dxa"/>
            <w:vAlign w:val="bottom"/>
            <w:gridSpan w:val="2"/>
          </w:tcPr>
          <w:p>
            <w:pPr>
              <w:jc w:val="right"/>
              <w:ind w:right="32"/>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3"/>
                <w:szCs w:val="23"/>
                <w:color w:val="auto"/>
              </w:rPr>
            </w:pPr>
          </w:p>
        </w:tc>
        <w:tc>
          <w:tcPr>
            <w:tcW w:w="1200" w:type="dxa"/>
            <w:vAlign w:val="bottom"/>
            <w:gridSpan w:val="2"/>
          </w:tcPr>
          <w:p>
            <w:pPr>
              <w:jc w:val="right"/>
              <w:ind w:right="32"/>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3"/>
                <w:szCs w:val="23"/>
                <w:color w:val="auto"/>
              </w:rPr>
            </w:pPr>
          </w:p>
        </w:tc>
        <w:tc>
          <w:tcPr>
            <w:tcW w:w="1200" w:type="dxa"/>
            <w:vAlign w:val="bottom"/>
            <w:gridSpan w:val="2"/>
          </w:tcPr>
          <w:p>
            <w:pPr>
              <w:jc w:val="right"/>
              <w:ind w:right="92"/>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CEEFF"/>
          </w:tcPr>
          <w:p>
            <w:pPr>
              <w:spacing w:after="0" w:line="199" w:lineRule="exact"/>
              <w:rPr>
                <w:sz w:val="20"/>
                <w:szCs w:val="20"/>
                <w:color w:val="auto"/>
              </w:rPr>
            </w:pPr>
            <w:r>
              <w:rPr>
                <w:rFonts w:ascii="Arial" w:cs="Arial" w:eastAsia="Arial" w:hAnsi="Arial"/>
                <w:sz w:val="15"/>
                <w:szCs w:val="15"/>
                <w:color w:val="auto"/>
              </w:rPr>
              <w:t>Net expenses</w:t>
            </w:r>
            <w:r>
              <w:rPr>
                <w:rFonts w:ascii="Arial" w:cs="Arial" w:eastAsia="Arial" w:hAnsi="Arial"/>
                <w:sz w:val="23"/>
                <w:szCs w:val="23"/>
                <w:color w:val="auto"/>
                <w:vertAlign w:val="superscript"/>
              </w:rPr>
              <w:t>(4)</w:t>
            </w: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2"/>
              <w:spacing w:after="0" w:line="17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jc w:val="right"/>
              <w:ind w:right="32"/>
              <w:spacing w:after="0" w:line="179" w:lineRule="exact"/>
              <w:rPr>
                <w:sz w:val="20"/>
                <w:szCs w:val="20"/>
                <w:color w:val="auto"/>
              </w:rPr>
            </w:pPr>
            <w:r>
              <w:rPr>
                <w:rFonts w:ascii="Arial" w:cs="Arial" w:eastAsia="Arial" w:hAnsi="Arial"/>
                <w:sz w:val="18"/>
                <w:szCs w:val="18"/>
                <w:color w:val="auto"/>
                <w:w w:val="74"/>
              </w:rPr>
              <w:t>%</w:t>
            </w:r>
          </w:p>
        </w:tc>
        <w:tc>
          <w:tcPr>
            <w:tcW w:w="220" w:type="dxa"/>
            <w:vAlign w:val="bottom"/>
            <w:shd w:val="clear" w:color="auto" w:fill="CCEEFF"/>
          </w:tcPr>
          <w:p>
            <w:pPr>
              <w:spacing w:after="0"/>
              <w:rPr>
                <w:sz w:val="15"/>
                <w:szCs w:val="15"/>
                <w:color w:val="auto"/>
              </w:rPr>
            </w:pPr>
          </w:p>
        </w:tc>
        <w:tc>
          <w:tcPr>
            <w:tcW w:w="1200" w:type="dxa"/>
            <w:vAlign w:val="bottom"/>
            <w:tcBorders>
              <w:right w:val="single" w:sz="8" w:color="CCEEFF"/>
            </w:tcBorders>
            <w:gridSpan w:val="2"/>
            <w:shd w:val="clear" w:color="auto" w:fill="CCEEFF"/>
          </w:tcPr>
          <w:p>
            <w:pPr>
              <w:jc w:val="right"/>
              <w:ind w:right="32"/>
              <w:spacing w:after="0" w:line="17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Borders>
              <w:right w:val="single" w:sz="8" w:color="CCEEFF"/>
            </w:tcBorders>
            <w:shd w:val="clear" w:color="auto" w:fill="CCEEFF"/>
          </w:tcPr>
          <w:p>
            <w:pPr>
              <w:jc w:val="right"/>
              <w:ind w:right="92"/>
              <w:spacing w:after="0" w:line="179" w:lineRule="exact"/>
              <w:rPr>
                <w:sz w:val="20"/>
                <w:szCs w:val="20"/>
                <w:color w:val="auto"/>
              </w:rPr>
            </w:pPr>
            <w:r>
              <w:rPr>
                <w:rFonts w:ascii="Arial" w:cs="Arial" w:eastAsia="Arial" w:hAnsi="Arial"/>
                <w:sz w:val="18"/>
                <w:szCs w:val="18"/>
                <w:color w:val="auto"/>
                <w:w w:val="74"/>
              </w:rPr>
              <w:t>%</w:t>
            </w:r>
          </w:p>
        </w:tc>
        <w:tc>
          <w:tcPr>
            <w:tcW w:w="2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line="17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
        </w:trPr>
        <w:tc>
          <w:tcPr>
            <w:tcW w:w="3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shd w:val="clear" w:color="auto" w:fill="CCEEFF"/>
          </w:tcPr>
          <w:p>
            <w:pPr>
              <w:jc w:val="right"/>
              <w:spacing w:after="0" w:line="80" w:lineRule="exact"/>
              <w:rPr>
                <w:sz w:val="20"/>
                <w:szCs w:val="20"/>
                <w:color w:val="auto"/>
              </w:rPr>
            </w:pPr>
            <w:r>
              <w:rPr>
                <w:rFonts w:ascii="Arial" w:cs="Arial" w:eastAsia="Arial" w:hAnsi="Arial"/>
                <w:sz w:val="9"/>
                <w:szCs w:val="9"/>
                <w:color w:val="auto"/>
              </w:rPr>
              <w:t>13.7</w:t>
            </w:r>
          </w:p>
        </w:tc>
        <w:tc>
          <w:tcPr>
            <w:tcW w:w="2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0" w:type="dxa"/>
            <w:vAlign w:val="bottom"/>
            <w:tcBorders>
              <w:right w:val="single" w:sz="8" w:color="CCEEFF"/>
            </w:tcBorders>
            <w:gridSpan w:val="2"/>
            <w:shd w:val="clear" w:color="auto" w:fill="CCEEFF"/>
          </w:tcPr>
          <w:p>
            <w:pPr>
              <w:jc w:val="right"/>
              <w:ind w:right="172"/>
              <w:spacing w:after="0" w:line="80" w:lineRule="exact"/>
              <w:rPr>
                <w:sz w:val="20"/>
                <w:szCs w:val="20"/>
                <w:color w:val="auto"/>
              </w:rPr>
            </w:pPr>
            <w:r>
              <w:rPr>
                <w:rFonts w:ascii="Arial" w:cs="Arial" w:eastAsia="Arial" w:hAnsi="Arial"/>
                <w:sz w:val="9"/>
                <w:szCs w:val="9"/>
                <w:color w:val="auto"/>
              </w:rPr>
              <w:t>10.6</w:t>
            </w:r>
          </w:p>
        </w:tc>
        <w:tc>
          <w:tcPr>
            <w:tcW w:w="3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320" w:type="dxa"/>
            <w:vAlign w:val="bottom"/>
            <w:tcBorders>
              <w:right w:val="single" w:sz="8" w:color="CCEEFF"/>
            </w:tcBorders>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80" w:type="dxa"/>
            <w:vAlign w:val="bottom"/>
            <w:gridSpan w:val="2"/>
            <w:shd w:val="clear" w:color="auto" w:fill="CCEEFF"/>
          </w:tcPr>
          <w:p>
            <w:pPr>
              <w:jc w:val="right"/>
              <w:ind w:right="72"/>
              <w:spacing w:after="0" w:line="80" w:lineRule="exact"/>
              <w:rPr>
                <w:sz w:val="20"/>
                <w:szCs w:val="20"/>
                <w:color w:val="auto"/>
              </w:rPr>
            </w:pPr>
            <w:r>
              <w:rPr>
                <w:rFonts w:ascii="Arial" w:cs="Arial" w:eastAsia="Arial" w:hAnsi="Arial"/>
                <w:sz w:val="9"/>
                <w:szCs w:val="9"/>
                <w:color w:val="auto"/>
              </w:rPr>
              <w:t>15.0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spacing w:after="0" w:line="245" w:lineRule="exact"/>
              <w:rPr>
                <w:sz w:val="20"/>
                <w:szCs w:val="20"/>
                <w:color w:val="auto"/>
              </w:rPr>
            </w:pPr>
            <w:r>
              <w:rPr>
                <w:rFonts w:ascii="Arial" w:cs="Arial" w:eastAsia="Arial" w:hAnsi="Arial"/>
                <w:sz w:val="17"/>
                <w:szCs w:val="17"/>
                <w:color w:val="auto"/>
              </w:rPr>
              <w:t>Net investment income with incentive fees</w:t>
            </w:r>
            <w:r>
              <w:rPr>
                <w:rFonts w:ascii="Arial" w:cs="Arial" w:eastAsia="Arial" w:hAnsi="Arial"/>
                <w:sz w:val="28"/>
                <w:szCs w:val="28"/>
                <w:color w:val="auto"/>
                <w:vertAlign w:val="superscript"/>
              </w:rPr>
              <w:t>(4)</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32"/>
              <w:spacing w:after="0" w:line="205" w:lineRule="exact"/>
              <w:rPr>
                <w:sz w:val="20"/>
                <w:szCs w:val="20"/>
                <w:color w:val="auto"/>
              </w:rPr>
            </w:pPr>
            <w:r>
              <w:rPr>
                <w:rFonts w:ascii="Arial" w:cs="Arial" w:eastAsia="Arial" w:hAnsi="Arial"/>
                <w:sz w:val="18"/>
                <w:szCs w:val="18"/>
                <w:color w:val="auto"/>
              </w:rPr>
              <w:t>9.4%</w:t>
            </w:r>
          </w:p>
        </w:tc>
        <w:tc>
          <w:tcPr>
            <w:tcW w:w="180" w:type="dxa"/>
            <w:vAlign w:val="bottom"/>
          </w:tcPr>
          <w:p>
            <w:pPr>
              <w:spacing w:after="0"/>
              <w:rPr>
                <w:sz w:val="17"/>
                <w:szCs w:val="17"/>
                <w:color w:val="auto"/>
              </w:rPr>
            </w:pPr>
          </w:p>
        </w:tc>
        <w:tc>
          <w:tcPr>
            <w:tcW w:w="1260" w:type="dxa"/>
            <w:vAlign w:val="bottom"/>
            <w:gridSpan w:val="2"/>
          </w:tcPr>
          <w:p>
            <w:pPr>
              <w:jc w:val="right"/>
              <w:ind w:right="32"/>
              <w:spacing w:after="0" w:line="205" w:lineRule="exact"/>
              <w:rPr>
                <w:sz w:val="20"/>
                <w:szCs w:val="20"/>
                <w:color w:val="auto"/>
              </w:rPr>
            </w:pPr>
            <w:r>
              <w:rPr>
                <w:rFonts w:ascii="Arial" w:cs="Arial" w:eastAsia="Arial" w:hAnsi="Arial"/>
                <w:sz w:val="18"/>
                <w:szCs w:val="18"/>
                <w:color w:val="auto"/>
              </w:rPr>
              <w:t>8.9%</w:t>
            </w:r>
          </w:p>
        </w:tc>
        <w:tc>
          <w:tcPr>
            <w:tcW w:w="220" w:type="dxa"/>
            <w:vAlign w:val="bottom"/>
          </w:tcPr>
          <w:p>
            <w:pPr>
              <w:spacing w:after="0"/>
              <w:rPr>
                <w:sz w:val="17"/>
                <w:szCs w:val="17"/>
                <w:color w:val="auto"/>
              </w:rPr>
            </w:pPr>
          </w:p>
        </w:tc>
        <w:tc>
          <w:tcPr>
            <w:tcW w:w="1200" w:type="dxa"/>
            <w:vAlign w:val="bottom"/>
            <w:gridSpan w:val="2"/>
          </w:tcPr>
          <w:p>
            <w:pPr>
              <w:jc w:val="right"/>
              <w:ind w:right="32"/>
              <w:spacing w:after="0" w:line="205" w:lineRule="exact"/>
              <w:rPr>
                <w:sz w:val="20"/>
                <w:szCs w:val="20"/>
                <w:color w:val="auto"/>
              </w:rPr>
            </w:pPr>
            <w:r>
              <w:rPr>
                <w:rFonts w:ascii="Arial" w:cs="Arial" w:eastAsia="Arial" w:hAnsi="Arial"/>
                <w:sz w:val="18"/>
                <w:szCs w:val="18"/>
                <w:color w:val="auto"/>
              </w:rPr>
              <w:t>11.4%</w:t>
            </w:r>
          </w:p>
        </w:tc>
        <w:tc>
          <w:tcPr>
            <w:tcW w:w="300" w:type="dxa"/>
            <w:vAlign w:val="bottom"/>
          </w:tcPr>
          <w:p>
            <w:pPr>
              <w:spacing w:after="0"/>
              <w:rPr>
                <w:sz w:val="17"/>
                <w:szCs w:val="17"/>
                <w:color w:val="auto"/>
              </w:rPr>
            </w:pPr>
          </w:p>
        </w:tc>
        <w:tc>
          <w:tcPr>
            <w:tcW w:w="1200" w:type="dxa"/>
            <w:vAlign w:val="bottom"/>
            <w:gridSpan w:val="2"/>
          </w:tcPr>
          <w:p>
            <w:pPr>
              <w:jc w:val="right"/>
              <w:ind w:right="92"/>
              <w:spacing w:after="0" w:line="205" w:lineRule="exact"/>
              <w:rPr>
                <w:sz w:val="20"/>
                <w:szCs w:val="20"/>
                <w:color w:val="auto"/>
              </w:rPr>
            </w:pPr>
            <w:r>
              <w:rPr>
                <w:rFonts w:ascii="Arial" w:cs="Arial" w:eastAsia="Arial" w:hAnsi="Arial"/>
                <w:sz w:val="18"/>
                <w:szCs w:val="18"/>
                <w:color w:val="auto"/>
              </w:rPr>
              <w:t>8.7%</w:t>
            </w:r>
          </w:p>
        </w:tc>
        <w:tc>
          <w:tcPr>
            <w:tcW w:w="240" w:type="dxa"/>
            <w:vAlign w:val="bottom"/>
          </w:tcPr>
          <w:p>
            <w:pPr>
              <w:spacing w:after="0"/>
              <w:rPr>
                <w:sz w:val="17"/>
                <w:szCs w:val="17"/>
                <w:color w:val="auto"/>
              </w:rPr>
            </w:pPr>
          </w:p>
        </w:tc>
        <w:tc>
          <w:tcPr>
            <w:tcW w:w="10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the end of the period</w:t>
            </w:r>
          </w:p>
        </w:tc>
        <w:tc>
          <w:tcPr>
            <w:tcW w:w="3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134,257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139,192</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159,751</w:t>
            </w: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tcPr>
          <w:p>
            <w:pPr>
              <w:spacing w:after="0"/>
              <w:rPr>
                <w:sz w:val="20"/>
                <w:szCs w:val="20"/>
                <w:color w:val="auto"/>
              </w:rPr>
            </w:pPr>
            <w:r>
              <w:rPr>
                <w:rFonts w:ascii="Arial" w:cs="Arial" w:eastAsia="Arial" w:hAnsi="Arial"/>
                <w:sz w:val="18"/>
                <w:szCs w:val="18"/>
                <w:color w:val="auto"/>
              </w:rPr>
              <w:t>Average net asset value</w:t>
            </w:r>
          </w:p>
        </w:tc>
        <w:tc>
          <w:tcPr>
            <w:tcW w:w="3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134,364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137,293</w:t>
            </w:r>
          </w:p>
        </w:tc>
        <w:tc>
          <w:tcPr>
            <w:tcW w:w="26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150,612</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157,612</w:t>
            </w:r>
          </w:p>
        </w:tc>
        <w:tc>
          <w:tcPr>
            <w:tcW w:w="32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137,848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3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8.62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8.91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32"/>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19"/>
                <w:szCs w:val="19"/>
                <w:color w:val="auto"/>
              </w:rPr>
            </w:pPr>
          </w:p>
        </w:tc>
        <w:tc>
          <w:tcPr>
            <w:tcW w:w="1260" w:type="dxa"/>
            <w:vAlign w:val="bottom"/>
            <w:gridSpan w:val="2"/>
          </w:tcPr>
          <w:p>
            <w:pPr>
              <w:jc w:val="right"/>
              <w:ind w:right="32"/>
              <w:spacing w:after="0"/>
              <w:rPr>
                <w:sz w:val="20"/>
                <w:szCs w:val="20"/>
                <w:color w:val="auto"/>
              </w:rPr>
            </w:pPr>
            <w:r>
              <w:rPr>
                <w:rFonts w:ascii="Arial" w:cs="Arial" w:eastAsia="Arial" w:hAnsi="Arial"/>
                <w:sz w:val="18"/>
                <w:szCs w:val="18"/>
                <w:color w:val="auto"/>
              </w:rPr>
              <w:t>79.4%</w:t>
            </w:r>
          </w:p>
        </w:tc>
        <w:tc>
          <w:tcPr>
            <w:tcW w:w="220" w:type="dxa"/>
            <w:vAlign w:val="bottom"/>
          </w:tcPr>
          <w:p>
            <w:pPr>
              <w:spacing w:after="0"/>
              <w:rPr>
                <w:sz w:val="19"/>
                <w:szCs w:val="19"/>
                <w:color w:val="auto"/>
              </w:rPr>
            </w:pPr>
          </w:p>
        </w:tc>
        <w:tc>
          <w:tcPr>
            <w:tcW w:w="1200" w:type="dxa"/>
            <w:vAlign w:val="bottom"/>
            <w:gridSpan w:val="2"/>
          </w:tcPr>
          <w:p>
            <w:pPr>
              <w:jc w:val="right"/>
              <w:ind w:right="32"/>
              <w:spacing w:after="0"/>
              <w:rPr>
                <w:sz w:val="20"/>
                <w:szCs w:val="20"/>
                <w:color w:val="auto"/>
              </w:rPr>
            </w:pPr>
            <w:r>
              <w:rPr>
                <w:rFonts w:ascii="Arial" w:cs="Arial" w:eastAsia="Arial" w:hAnsi="Arial"/>
                <w:sz w:val="18"/>
                <w:szCs w:val="18"/>
                <w:color w:val="auto"/>
              </w:rPr>
              <w:t>27.1%</w:t>
            </w:r>
          </w:p>
        </w:tc>
        <w:tc>
          <w:tcPr>
            <w:tcW w:w="300" w:type="dxa"/>
            <w:vAlign w:val="bottom"/>
          </w:tcPr>
          <w:p>
            <w:pPr>
              <w:spacing w:after="0"/>
              <w:rPr>
                <w:sz w:val="19"/>
                <w:szCs w:val="19"/>
                <w:color w:val="auto"/>
              </w:rPr>
            </w:pPr>
          </w:p>
        </w:tc>
        <w:tc>
          <w:tcPr>
            <w:tcW w:w="1200" w:type="dxa"/>
            <w:vAlign w:val="bottom"/>
            <w:gridSpan w:val="2"/>
          </w:tcPr>
          <w:p>
            <w:pPr>
              <w:jc w:val="right"/>
              <w:ind w:right="92"/>
              <w:spacing w:after="0"/>
              <w:rPr>
                <w:sz w:val="20"/>
                <w:szCs w:val="20"/>
                <w:color w:val="auto"/>
              </w:rPr>
            </w:pPr>
            <w:r>
              <w:rPr>
                <w:rFonts w:ascii="Arial" w:cs="Arial" w:eastAsia="Arial" w:hAnsi="Arial"/>
                <w:sz w:val="18"/>
                <w:szCs w:val="18"/>
                <w:color w:val="auto"/>
              </w:rPr>
              <w:t>56.1%</w:t>
            </w: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18103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spacing w:after="0" w:line="195" w:lineRule="exact"/>
        <w:rPr>
          <w:sz w:val="20"/>
          <w:szCs w:val="20"/>
          <w:color w:val="auto"/>
        </w:rPr>
      </w:pPr>
    </w:p>
    <w:p>
      <w:pPr>
        <w:jc w:val="both"/>
        <w:ind w:left="320" w:hanging="314"/>
        <w:spacing w:after="0" w:line="299" w:lineRule="auto"/>
        <w:tabs>
          <w:tab w:leader="none" w:pos="3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Distributions are determined based on taxable income calculated in accordance with income tax regulations, which may differ from amounts determined under GAAP due to (i) changes in unrealized appreciation and depreciation, (ii) temporary and permanent differences in income and expense recognition, and (iii) the amount of spillover income carried over from a given tax year for distribution in the following tax year. The final determination of taxable income for each tax year, as well as the tax attributes for distributions in such tax year, will be made after the close of the tax year.</w:t>
      </w:r>
    </w:p>
    <w:p>
      <w:pPr>
        <w:ind w:left="320" w:right="20" w:hanging="314"/>
        <w:spacing w:after="0" w:line="245" w:lineRule="auto"/>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per share data based on the weighted average basic shares outstanding during the period and certain per share data based on the shares outstanding as of a period end or transaction date.</w:t>
      </w:r>
    </w:p>
    <w:p>
      <w:pPr>
        <w:spacing w:after="0" w:line="1" w:lineRule="exact"/>
        <w:rPr>
          <w:rFonts w:ascii="Arial" w:cs="Arial" w:eastAsia="Arial" w:hAnsi="Arial"/>
          <w:sz w:val="18"/>
          <w:szCs w:val="18"/>
          <w:color w:val="auto"/>
        </w:rPr>
      </w:pPr>
    </w:p>
    <w:p>
      <w:pPr>
        <w:ind w:left="320" w:hanging="314"/>
        <w:spacing w:after="0" w:line="245" w:lineRule="auto"/>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total return equals the change in the ending market value over the beginning of period price per share plus distributions paid per share during the period, divided by the beginning price.</w:t>
      </w:r>
    </w:p>
    <w:p>
      <w:pPr>
        <w:spacing w:after="0" w:line="1" w:lineRule="exact"/>
        <w:rPr>
          <w:rFonts w:ascii="Arial" w:cs="Arial" w:eastAsia="Arial" w:hAnsi="Arial"/>
          <w:sz w:val="18"/>
          <w:szCs w:val="18"/>
          <w:color w:val="auto"/>
        </w:rPr>
      </w:pPr>
    </w:p>
    <w:p>
      <w:pPr>
        <w:ind w:left="320" w:hanging="314"/>
        <w:spacing w:after="0" w:line="280" w:lineRule="auto"/>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During the years ended December 31, 2018, 2017 and 2014, the Advisor waived $1.2 million, $0.1 million and $0.1 million of incentive fee. During the years ended December 31, 2015 and 2014, the Advisor waived $0.3 million and $0.2 million, respectively, of base management fee.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010" w:gutter="0" w:footer="0" w:header="0"/>
        </w:sectPr>
      </w:pPr>
    </w:p>
    <w:bookmarkStart w:id="123" w:name="page124"/>
    <w:bookmarkEnd w:id="123"/>
    <w:p>
      <w:pPr>
        <w:jc w:val="center"/>
        <w:ind w:left="2100"/>
        <w:spacing w:after="0"/>
        <w:rPr>
          <w:sz w:val="20"/>
          <w:szCs w:val="20"/>
          <w:color w:val="auto"/>
        </w:rPr>
      </w:pPr>
      <w:r>
        <w:rPr>
          <w:rFonts w:ascii="Arial" w:cs="Arial" w:eastAsia="Arial" w:hAnsi="Arial"/>
          <w:sz w:val="15"/>
          <w:szCs w:val="15"/>
          <w:b w:val="1"/>
          <w:bCs w:val="1"/>
          <w:color w:val="auto"/>
        </w:rPr>
        <w:t>Horizon Technology Finance Corporation and Subsidiaries</w:t>
      </w:r>
    </w:p>
    <w:p>
      <w:pPr>
        <w:spacing w:after="0" w:line="25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Summarized financial information for HSLFI</w:t>
      </w:r>
    </w:p>
    <w:p>
      <w:pPr>
        <w:spacing w:after="0" w:line="217" w:lineRule="exact"/>
        <w:rPr>
          <w:sz w:val="20"/>
          <w:szCs w:val="20"/>
          <w:color w:val="auto"/>
        </w:rPr>
      </w:pPr>
    </w:p>
    <w:p>
      <w:pPr>
        <w:jc w:val="center"/>
        <w:ind w:left="2100"/>
        <w:spacing w:after="0"/>
        <w:rPr>
          <w:sz w:val="20"/>
          <w:szCs w:val="20"/>
          <w:color w:val="auto"/>
        </w:rPr>
      </w:pPr>
      <w:r>
        <w:rPr>
          <w:rFonts w:ascii="Arial" w:cs="Arial" w:eastAsia="Arial" w:hAnsi="Arial"/>
          <w:sz w:val="18"/>
          <w:szCs w:val="18"/>
          <w:b w:val="1"/>
          <w:bCs w:val="1"/>
          <w:color w:val="auto"/>
        </w:rPr>
        <w:t>Horizon Secured Loan Fund I</w:t>
      </w:r>
    </w:p>
    <w:p>
      <w:pPr>
        <w:spacing w:after="0" w:line="217" w:lineRule="exact"/>
        <w:rPr>
          <w:sz w:val="20"/>
          <w:szCs w:val="20"/>
          <w:color w:val="auto"/>
        </w:rPr>
      </w:pPr>
    </w:p>
    <w:p>
      <w:pPr>
        <w:jc w:val="center"/>
        <w:ind w:left="2100"/>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2" w:lineRule="exact"/>
        <w:rPr>
          <w:sz w:val="20"/>
          <w:szCs w:val="20"/>
          <w:color w:val="auto"/>
        </w:rPr>
      </w:pPr>
    </w:p>
    <w:p>
      <w:pPr>
        <w:jc w:val="center"/>
        <w:ind w:left="2100"/>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49160" cy="134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Investments at fair value (cost of $24,771)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49160" cy="134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Investments in money market funds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49160" cy="134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assets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249160" cy="1600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9160" cy="16002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49160" cy="134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249160" cy="142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9160" cy="14287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249160" cy="134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49160" cy="134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9160" cy="134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Members’ capital</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members’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7249160" cy="142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9160" cy="1428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liabilities and members’ capital</w:t>
      </w:r>
    </w:p>
    <w:p>
      <w:pPr>
        <w:spacing w:after="0" w:line="200" w:lineRule="exact"/>
        <w:rPr>
          <w:sz w:val="20"/>
          <w:szCs w:val="20"/>
          <w:color w:val="auto"/>
        </w:rPr>
      </w:pPr>
    </w:p>
    <w:p>
      <w:pPr>
        <w:spacing w:after="0" w:line="2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7912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80" w:hanging="770"/>
        <w:spacing w:after="0"/>
        <w:tabs>
          <w:tab w:leader="none" w:pos="7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24,734</w:t>
      </w:r>
    </w:p>
    <w:p>
      <w:pPr>
        <w:spacing w:after="0" w:line="50"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5"/>
          <w:szCs w:val="15"/>
          <w:color w:val="auto"/>
        </w:rPr>
        <w:t>76</w:t>
      </w:r>
    </w:p>
    <w:p>
      <w:pPr>
        <w:spacing w:after="0" w:line="39"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5"/>
          <w:szCs w:val="15"/>
          <w:color w:val="auto"/>
        </w:rPr>
        <w:t>74</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252</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1,306</w:t>
      </w:r>
    </w:p>
    <w:p>
      <w:pPr>
        <w:spacing w:after="0" w:line="32" w:lineRule="exact"/>
        <w:rPr>
          <w:sz w:val="20"/>
          <w:szCs w:val="20"/>
          <w:color w:val="auto"/>
        </w:rPr>
      </w:pPr>
    </w:p>
    <w:p>
      <w:pPr>
        <w:ind w:left="780" w:hanging="770"/>
        <w:spacing w:after="0"/>
        <w:tabs>
          <w:tab w:leader="none" w:pos="7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26,442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7912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080" w:hanging="1070"/>
        <w:spacing w:after="0"/>
        <w:tabs>
          <w:tab w:leader="none" w:pos="10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81</w:t>
      </w:r>
    </w:p>
    <w:p>
      <w:pPr>
        <w:spacing w:after="0" w:line="52"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7912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26,361</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11430</wp:posOffset>
            </wp:positionV>
            <wp:extent cx="7912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12" w:lineRule="exact"/>
        <w:rPr>
          <w:sz w:val="20"/>
          <w:szCs w:val="20"/>
          <w:color w:val="auto"/>
        </w:rPr>
      </w:pPr>
    </w:p>
    <w:p>
      <w:pPr>
        <w:ind w:left="780" w:hanging="770"/>
        <w:spacing w:after="0"/>
        <w:tabs>
          <w:tab w:leader="none" w:pos="7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26,442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7912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9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50165</wp:posOffset>
            </wp:positionV>
            <wp:extent cx="7912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ectPr>
          <w:pgSz w:w="11900" w:h="16838" w:orient="portrait"/>
          <w:cols w:equalWidth="0" w:num="2">
            <w:col w:w="9340" w:space="720"/>
            <w:col w:w="1260"/>
          </w:cols>
          <w:pgMar w:left="240" w:top="890"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29"/>
        </w:trPr>
        <w:tc>
          <w:tcPr>
            <w:tcW w:w="10060" w:type="dxa"/>
            <w:vAlign w:val="bottom"/>
          </w:tcPr>
          <w:p>
            <w:pPr>
              <w:jc w:val="center"/>
              <w:ind w:left="1292"/>
              <w:spacing w:after="0"/>
              <w:rPr>
                <w:sz w:val="20"/>
                <w:szCs w:val="20"/>
                <w:color w:val="auto"/>
              </w:rPr>
            </w:pPr>
            <w:r>
              <w:rPr>
                <w:rFonts w:ascii="Arial" w:cs="Arial" w:eastAsia="Arial" w:hAnsi="Arial"/>
                <w:sz w:val="18"/>
                <w:szCs w:val="18"/>
                <w:b w:val="1"/>
                <w:bCs w:val="1"/>
                <w:color w:val="auto"/>
                <w:w w:val="88"/>
              </w:rPr>
              <w:t>Horizon Technology Finance Corporation and Subsidiaries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4"/>
        </w:trPr>
        <w:tc>
          <w:tcPr>
            <w:tcW w:w="10060" w:type="dxa"/>
            <w:vAlign w:val="bottom"/>
          </w:tcPr>
          <w:p>
            <w:pPr>
              <w:jc w:val="center"/>
              <w:ind w:left="1292"/>
              <w:spacing w:after="0"/>
              <w:rPr>
                <w:sz w:val="20"/>
                <w:szCs w:val="20"/>
                <w:color w:val="auto"/>
              </w:rPr>
            </w:pPr>
            <w:r>
              <w:rPr>
                <w:rFonts w:ascii="Arial" w:cs="Arial" w:eastAsia="Arial" w:hAnsi="Arial"/>
                <w:sz w:val="18"/>
                <w:szCs w:val="18"/>
                <w:b w:val="1"/>
                <w:bCs w:val="1"/>
                <w:color w:val="auto"/>
                <w:w w:val="87"/>
              </w:rPr>
              <w:t>Notes to Consolidated Financial Statements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4"/>
        </w:trPr>
        <w:tc>
          <w:tcPr>
            <w:tcW w:w="10060" w:type="dxa"/>
            <w:vAlign w:val="bottom"/>
          </w:tcPr>
          <w:p>
            <w:pPr>
              <w:jc w:val="center"/>
              <w:ind w:left="1272"/>
              <w:spacing w:after="0"/>
              <w:rPr>
                <w:sz w:val="20"/>
                <w:szCs w:val="20"/>
                <w:color w:val="auto"/>
              </w:rPr>
            </w:pPr>
            <w:r>
              <w:rPr>
                <w:rFonts w:ascii="Arial" w:cs="Arial" w:eastAsia="Arial" w:hAnsi="Arial"/>
                <w:sz w:val="18"/>
                <w:szCs w:val="18"/>
                <w:b w:val="1"/>
                <w:bCs w:val="1"/>
                <w:color w:val="auto"/>
                <w:w w:val="90"/>
              </w:rPr>
              <w:t>Horizon Secured Loan Fund I</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7"/>
        </w:trPr>
        <w:tc>
          <w:tcPr>
            <w:tcW w:w="10060" w:type="dxa"/>
            <w:vAlign w:val="bottom"/>
          </w:tcPr>
          <w:p>
            <w:pPr>
              <w:jc w:val="center"/>
              <w:ind w:left="1272"/>
              <w:spacing w:after="0"/>
              <w:rPr>
                <w:sz w:val="20"/>
                <w:szCs w:val="20"/>
                <w:color w:val="auto"/>
              </w:rPr>
            </w:pPr>
            <w:r>
              <w:rPr>
                <w:rFonts w:ascii="Arial" w:cs="Arial" w:eastAsia="Arial" w:hAnsi="Arial"/>
                <w:sz w:val="18"/>
                <w:szCs w:val="18"/>
                <w:b w:val="1"/>
                <w:bCs w:val="1"/>
                <w:color w:val="auto"/>
                <w:w w:val="86"/>
              </w:rPr>
              <w:t>Statements of Assets and Liabilities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0060" w:type="dxa"/>
            <w:vAlign w:val="bottom"/>
          </w:tcPr>
          <w:p>
            <w:pPr>
              <w:jc w:val="center"/>
              <w:ind w:left="1272"/>
              <w:spacing w:after="0"/>
              <w:rPr>
                <w:sz w:val="20"/>
                <w:szCs w:val="20"/>
                <w:color w:val="auto"/>
              </w:rPr>
            </w:pPr>
            <w:r>
              <w:rPr>
                <w:rFonts w:ascii="Arial" w:cs="Arial" w:eastAsia="Arial" w:hAnsi="Arial"/>
                <w:sz w:val="18"/>
                <w:szCs w:val="18"/>
                <w:b w:val="1"/>
                <w:bCs w:val="1"/>
                <w:color w:val="auto"/>
                <w:w w:val="87"/>
              </w:rPr>
              <w:t>(Dollars in thousands)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7"/>
        </w:trPr>
        <w:tc>
          <w:tcPr>
            <w:tcW w:w="10060" w:type="dxa"/>
            <w:vAlign w:val="bottom"/>
          </w:tcPr>
          <w:p>
            <w:pPr>
              <w:spacing w:after="0"/>
              <w:rPr>
                <w:sz w:val="24"/>
                <w:szCs w:val="24"/>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For the period</w:t>
            </w:r>
          </w:p>
        </w:tc>
      </w:tr>
      <w:tr>
        <w:trPr>
          <w:trHeight w:val="212"/>
        </w:trPr>
        <w:tc>
          <w:tcPr>
            <w:tcW w:w="10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June 1, 2018</w:t>
            </w:r>
          </w:p>
        </w:tc>
      </w:tr>
      <w:tr>
        <w:trPr>
          <w:trHeight w:val="212"/>
        </w:trPr>
        <w:tc>
          <w:tcPr>
            <w:tcW w:w="10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through</w:t>
            </w:r>
          </w:p>
        </w:tc>
      </w:tr>
      <w:tr>
        <w:trPr>
          <w:trHeight w:val="225"/>
        </w:trPr>
        <w:tc>
          <w:tcPr>
            <w:tcW w:w="10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29"/>
        </w:trPr>
        <w:tc>
          <w:tcPr>
            <w:tcW w:w="100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6"/>
        </w:trPr>
        <w:tc>
          <w:tcPr>
            <w:tcW w:w="10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4"/>
        </w:trPr>
        <w:tc>
          <w:tcPr>
            <w:tcW w:w="100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689</w:t>
            </w:r>
          </w:p>
        </w:tc>
        <w:tc>
          <w:tcPr>
            <w:tcW w:w="80" w:type="dxa"/>
            <w:vAlign w:val="bottom"/>
          </w:tcPr>
          <w:p>
            <w:pPr>
              <w:spacing w:after="0"/>
              <w:rPr>
                <w:sz w:val="19"/>
                <w:szCs w:val="19"/>
                <w:color w:val="auto"/>
              </w:rPr>
            </w:pPr>
          </w:p>
        </w:tc>
      </w:tr>
      <w:tr>
        <w:trPr>
          <w:trHeight w:val="206"/>
        </w:trPr>
        <w:tc>
          <w:tcPr>
            <w:tcW w:w="10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5"/>
        </w:trPr>
        <w:tc>
          <w:tcPr>
            <w:tcW w:w="10060" w:type="dxa"/>
            <w:vAlign w:val="bottom"/>
          </w:tcPr>
          <w:p>
            <w:pPr>
              <w:spacing w:after="0" w:line="206" w:lineRule="exact"/>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r>
      <w:tr>
        <w:trPr>
          <w:trHeight w:val="224"/>
        </w:trPr>
        <w:tc>
          <w:tcPr>
            <w:tcW w:w="10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6"/>
        </w:trPr>
        <w:tc>
          <w:tcPr>
            <w:tcW w:w="10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10060" w:type="dxa"/>
            <w:vAlign w:val="bottom"/>
            <w:tcBorders>
              <w:bottom w:val="single" w:sz="8" w:color="CCEEFF"/>
            </w:tcBorders>
          </w:tcPr>
          <w:p>
            <w:pPr>
              <w:spacing w:after="0" w:line="206" w:lineRule="exact"/>
              <w:rPr>
                <w:sz w:val="20"/>
                <w:szCs w:val="20"/>
                <w:color w:val="auto"/>
              </w:rPr>
            </w:pPr>
            <w:r>
              <w:rPr>
                <w:rFonts w:ascii="Arial" w:cs="Arial" w:eastAsia="Arial" w:hAnsi="Arial"/>
                <w:sz w:val="18"/>
                <w:szCs w:val="18"/>
                <w:b w:val="1"/>
                <w:bCs w:val="1"/>
                <w:color w:val="auto"/>
              </w:rPr>
              <w:t>Net investment income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509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5"/>
        </w:trPr>
        <w:tc>
          <w:tcPr>
            <w:tcW w:w="1006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Net unrealized depreciation on investments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4"/>
        </w:trPr>
        <w:tc>
          <w:tcPr>
            <w:tcW w:w="1006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r>
      <w:tr>
        <w:trPr>
          <w:trHeight w:val="206"/>
        </w:trPr>
        <w:tc>
          <w:tcPr>
            <w:tcW w:w="10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unrealized depreciation on investments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9"/>
              </w:rPr>
              <w:t>)</w:t>
            </w:r>
          </w:p>
        </w:tc>
      </w:tr>
      <w:tr>
        <w:trPr>
          <w:trHeight w:val="218"/>
        </w:trPr>
        <w:tc>
          <w:tcPr>
            <w:tcW w:w="10060" w:type="dxa"/>
            <w:vAlign w:val="bottom"/>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8"/>
                <w:szCs w:val="18"/>
                <w:color w:val="auto"/>
              </w:rPr>
            </w:pPr>
          </w:p>
        </w:tc>
      </w:tr>
      <w:tr>
        <w:trPr>
          <w:trHeight w:val="20"/>
        </w:trPr>
        <w:tc>
          <w:tcPr>
            <w:tcW w:w="10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contingencies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HSLFI’s unfunded commitments by portfolio company as of December 31,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3"/>
          </w:tcPr>
          <w:p>
            <w:pPr>
              <w:jc w:val="center"/>
              <w:spacing w:after="0" w:line="189" w:lineRule="exact"/>
              <w:rPr>
                <w:sz w:val="20"/>
                <w:szCs w:val="20"/>
                <w:color w:val="auto"/>
              </w:rPr>
            </w:pPr>
            <w:r>
              <w:rPr>
                <w:rFonts w:ascii="Arial" w:cs="Arial" w:eastAsia="Arial" w:hAnsi="Arial"/>
                <w:sz w:val="18"/>
                <w:szCs w:val="18"/>
                <w:b w:val="1"/>
                <w:bCs w:val="1"/>
                <w:color w:val="auto"/>
                <w:w w:val="90"/>
              </w:rPr>
              <w:t>Fair Value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8"/>
              </w:rPr>
              <w:t>Unfunded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rPr>
              <w:t>Principal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Commitment</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Balance</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Liability</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6"/>
          </w:tcPr>
          <w:p>
            <w:pPr>
              <w:jc w:val="right"/>
              <w:ind w:right="640"/>
              <w:spacing w:after="0" w:line="206" w:lineRule="exact"/>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Signature US, Inc.</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gridSpan w:val="2"/>
          </w:tcPr>
          <w:p>
            <w:pPr>
              <w:spacing w:after="0" w:line="203" w:lineRule="exact"/>
              <w:rPr>
                <w:sz w:val="20"/>
                <w:szCs w:val="20"/>
                <w:color w:val="auto"/>
              </w:rPr>
            </w:pPr>
            <w:r>
              <w:rPr>
                <w:rFonts w:ascii="Arial" w:cs="Arial" w:eastAsia="Arial" w:hAnsi="Arial"/>
                <w:sz w:val="18"/>
                <w:szCs w:val="18"/>
                <w:color w:val="auto"/>
              </w:rPr>
              <w:t>Total</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3,000</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15. Selected quarterly financial data (unaudited)</w:t>
            </w: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84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3"/>
              </w:rPr>
              <w:t>December 31,</w:t>
            </w:r>
          </w:p>
        </w:tc>
        <w:tc>
          <w:tcPr>
            <w:tcW w:w="14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60" w:type="dxa"/>
            <w:vAlign w:val="bottom"/>
            <w:gridSpan w:val="5"/>
          </w:tcPr>
          <w:p>
            <w:pPr>
              <w:jc w:val="right"/>
              <w:spacing w:after="0" w:line="206" w:lineRule="exact"/>
              <w:rPr>
                <w:sz w:val="20"/>
                <w:szCs w:val="20"/>
                <w:color w:val="auto"/>
              </w:rPr>
            </w:pPr>
            <w:r>
              <w:rPr>
                <w:rFonts w:ascii="Arial" w:cs="Arial" w:eastAsia="Arial" w:hAnsi="Arial"/>
                <w:sz w:val="18"/>
                <w:szCs w:val="18"/>
                <w:b w:val="1"/>
                <w:bCs w:val="1"/>
                <w:color w:val="auto"/>
                <w:w w:val="87"/>
              </w:rPr>
              <w:t>(In thousands, except per share data)</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1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7,313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3,964</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3,290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3,210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1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increase in net asset resulting from operations</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3,218</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2,930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2,603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454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 xml:space="preserve">Net investment income per share </w:t>
            </w:r>
            <w:r>
              <w:rPr>
                <w:rFonts w:ascii="Arial" w:cs="Arial" w:eastAsia="Arial" w:hAnsi="Arial"/>
                <w:sz w:val="29"/>
                <w:szCs w:val="29"/>
                <w:color w:val="auto"/>
                <w:vertAlign w:val="superscript"/>
              </w:rPr>
              <w:t>(1)</w:t>
            </w:r>
          </w:p>
        </w:tc>
        <w:tc>
          <w:tcPr>
            <w:tcW w:w="11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0.29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4540" w:type="dxa"/>
            <w:vAlign w:val="bottom"/>
          </w:tcPr>
          <w:p>
            <w:pPr>
              <w:spacing w:after="0" w:line="252" w:lineRule="exact"/>
              <w:rPr>
                <w:sz w:val="20"/>
                <w:szCs w:val="20"/>
                <w:color w:val="auto"/>
              </w:rPr>
            </w:pPr>
            <w:r>
              <w:rPr>
                <w:rFonts w:ascii="Arial" w:cs="Arial" w:eastAsia="Arial" w:hAnsi="Arial"/>
                <w:sz w:val="18"/>
                <w:szCs w:val="18"/>
                <w:color w:val="auto"/>
              </w:rPr>
              <w:t xml:space="preserve">Net increase in net assets per share </w:t>
            </w:r>
            <w:r>
              <w:rPr>
                <w:rFonts w:ascii="Arial" w:cs="Arial" w:eastAsia="Arial" w:hAnsi="Arial"/>
                <w:sz w:val="29"/>
                <w:szCs w:val="29"/>
                <w:color w:val="auto"/>
                <w:vertAlign w:val="superscript"/>
              </w:rPr>
              <w:t>(1)</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0.28</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0.25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00" w:type="dxa"/>
            <w:vAlign w:val="bottom"/>
          </w:tcPr>
          <w:p>
            <w:pPr>
              <w:spacing w:after="0"/>
              <w:rPr>
                <w:sz w:val="21"/>
                <w:szCs w:val="21"/>
                <w:color w:val="auto"/>
              </w:rPr>
            </w:pPr>
          </w:p>
        </w:tc>
        <w:tc>
          <w:tcPr>
            <w:tcW w:w="454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 xml:space="preserve">Net asset value per share at period end </w:t>
            </w:r>
            <w:r>
              <w:rPr>
                <w:rFonts w:ascii="Arial" w:cs="Arial" w:eastAsia="Arial" w:hAnsi="Arial"/>
                <w:sz w:val="29"/>
                <w:szCs w:val="29"/>
                <w:color w:val="auto"/>
                <w:vertAlign w:val="superscript"/>
              </w:rPr>
              <w:t>(2)</w:t>
            </w:r>
          </w:p>
        </w:tc>
        <w:tc>
          <w:tcPr>
            <w:tcW w:w="11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11.60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11.65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6"/>
        </w:trPr>
        <w:tc>
          <w:tcPr>
            <w:tcW w:w="3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123</w:t>
            </w: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0" w:right="2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80" w:type="dxa"/>
            <w:vAlign w:val="bottom"/>
            <w:gridSpan w:val="6"/>
          </w:tcPr>
          <w:p>
            <w:pPr>
              <w:jc w:val="right"/>
              <w:ind w:right="352"/>
              <w:spacing w:after="0"/>
              <w:rPr>
                <w:sz w:val="20"/>
                <w:szCs w:val="20"/>
                <w:color w:val="auto"/>
              </w:rPr>
            </w:pPr>
            <w:r>
              <w:rPr>
                <w:rFonts w:ascii="Arial" w:cs="Arial" w:eastAsia="Arial" w:hAnsi="Arial"/>
                <w:sz w:val="18"/>
                <w:szCs w:val="18"/>
                <w:b w:val="1"/>
                <w:bCs w:val="1"/>
                <w:color w:val="auto"/>
              </w:rPr>
              <w:t>Horizon Technology Finance Corporation and Subsidiaries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24"/>
        </w:trPr>
        <w:tc>
          <w:tcPr>
            <w:tcW w:w="3660" w:type="dxa"/>
            <w:vAlign w:val="bottom"/>
          </w:tcPr>
          <w:p>
            <w:pPr>
              <w:spacing w:after="0"/>
              <w:rPr>
                <w:sz w:val="24"/>
                <w:szCs w:val="24"/>
                <w:color w:val="auto"/>
              </w:rPr>
            </w:pPr>
          </w:p>
        </w:tc>
        <w:tc>
          <w:tcPr>
            <w:tcW w:w="3460" w:type="dxa"/>
            <w:vAlign w:val="bottom"/>
            <w:gridSpan w:val="4"/>
          </w:tcPr>
          <w:p>
            <w:pPr>
              <w:jc w:val="right"/>
              <w:spacing w:after="0"/>
              <w:rPr>
                <w:sz w:val="20"/>
                <w:szCs w:val="20"/>
                <w:color w:val="auto"/>
              </w:rPr>
            </w:pPr>
            <w:r>
              <w:rPr>
                <w:rFonts w:ascii="Arial" w:cs="Arial" w:eastAsia="Arial" w:hAnsi="Arial"/>
                <w:sz w:val="18"/>
                <w:szCs w:val="18"/>
                <w:b w:val="1"/>
                <w:bCs w:val="1"/>
                <w:color w:val="auto"/>
                <w:w w:val="89"/>
              </w:rPr>
              <w:t>Notes to Consolidated Financial Statements</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7"/>
        </w:trPr>
        <w:tc>
          <w:tcPr>
            <w:tcW w:w="3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w w:val="85"/>
              </w:rPr>
              <w:t>December 31,</w:t>
            </w:r>
          </w:p>
        </w:tc>
        <w:tc>
          <w:tcPr>
            <w:tcW w:w="15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4"/>
                <w:szCs w:val="24"/>
                <w:color w:val="auto"/>
              </w:rPr>
            </w:pPr>
          </w:p>
        </w:tc>
        <w:tc>
          <w:tcPr>
            <w:tcW w:w="1140" w:type="dxa"/>
            <w:vAlign w:val="bottom"/>
          </w:tcPr>
          <w:p>
            <w:pPr>
              <w:jc w:val="right"/>
              <w:ind w:right="332"/>
              <w:spacing w:after="0"/>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r>
      <w:tr>
        <w:trPr>
          <w:trHeight w:val="230"/>
        </w:trPr>
        <w:tc>
          <w:tcPr>
            <w:tcW w:w="3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w w:val="94"/>
              </w:rPr>
              <w:t>2017</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r>
      <w:tr>
        <w:trPr>
          <w:trHeight w:val="206"/>
        </w:trPr>
        <w:tc>
          <w:tcPr>
            <w:tcW w:w="3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00" w:type="dxa"/>
            <w:vAlign w:val="bottom"/>
            <w:gridSpan w:val="4"/>
          </w:tcPr>
          <w:p>
            <w:pPr>
              <w:jc w:val="right"/>
              <w:spacing w:after="0" w:line="206" w:lineRule="exact"/>
              <w:rPr>
                <w:sz w:val="20"/>
                <w:szCs w:val="20"/>
                <w:color w:val="auto"/>
              </w:rPr>
            </w:pPr>
            <w:r>
              <w:rPr>
                <w:rFonts w:ascii="Arial" w:cs="Arial" w:eastAsia="Arial" w:hAnsi="Arial"/>
                <w:sz w:val="18"/>
                <w:szCs w:val="18"/>
                <w:b w:val="1"/>
                <w:bCs w:val="1"/>
                <w:color w:val="auto"/>
                <w:w w:val="88"/>
              </w:rPr>
              <w:t>(In thousands, except per share data)</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5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6,774</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5,878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6,962</w:t>
            </w:r>
          </w:p>
        </w:tc>
      </w:tr>
      <w:tr>
        <w:trPr>
          <w:trHeight w:val="212"/>
        </w:trPr>
        <w:tc>
          <w:tcPr>
            <w:tcW w:w="3660" w:type="dxa"/>
            <w:vAlign w:val="bottom"/>
          </w:tcPr>
          <w:p>
            <w:pPr>
              <w:spacing w:after="0"/>
              <w:rPr>
                <w:sz w:val="20"/>
                <w:szCs w:val="20"/>
                <w:color w:val="auto"/>
              </w:rPr>
            </w:pPr>
            <w:r>
              <w:rPr>
                <w:rFonts w:ascii="Arial" w:cs="Arial" w:eastAsia="Arial" w:hAnsi="Arial"/>
                <w:sz w:val="18"/>
                <w:szCs w:val="18"/>
                <w:color w:val="auto"/>
              </w:rPr>
              <w:t>Net investment income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2,379</w:t>
            </w:r>
          </w:p>
        </w:tc>
        <w:tc>
          <w:tcPr>
            <w:tcW w:w="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3,797</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2,754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3,367</w:t>
            </w:r>
          </w:p>
        </w:tc>
      </w:tr>
      <w:tr>
        <w:trPr>
          <w:trHeight w:val="212"/>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5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r>
      <w:tr>
        <w:trPr>
          <w:trHeight w:val="212"/>
        </w:trPr>
        <w:tc>
          <w:tcPr>
            <w:tcW w:w="3660" w:type="dxa"/>
            <w:vAlign w:val="bottom"/>
          </w:tcPr>
          <w:p>
            <w:pPr>
              <w:spacing w:after="0"/>
              <w:rPr>
                <w:sz w:val="20"/>
                <w:szCs w:val="20"/>
                <w:color w:val="auto"/>
              </w:rPr>
            </w:pPr>
            <w:r>
              <w:rPr>
                <w:rFonts w:ascii="Arial" w:cs="Arial" w:eastAsia="Arial" w:hAnsi="Arial"/>
                <w:sz w:val="18"/>
                <w:szCs w:val="18"/>
                <w:color w:val="auto"/>
                <w:w w:val="90"/>
              </w:rPr>
              <w:t>Net increase in net asset resulting from operations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2,496</w:t>
            </w:r>
          </w:p>
        </w:tc>
        <w:tc>
          <w:tcPr>
            <w:tcW w:w="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2,709</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3,653</w:t>
            </w:r>
          </w:p>
        </w:tc>
      </w:tr>
      <w:tr>
        <w:trPr>
          <w:trHeight w:val="252"/>
        </w:trPr>
        <w:tc>
          <w:tcPr>
            <w:tcW w:w="366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 xml:space="preserve">Net investment income per share </w:t>
            </w:r>
            <w:r>
              <w:rPr>
                <w:rFonts w:ascii="Arial" w:cs="Arial" w:eastAsia="Arial" w:hAnsi="Arial"/>
                <w:sz w:val="29"/>
                <w:szCs w:val="29"/>
                <w:color w:val="auto"/>
                <w:vertAlign w:val="superscript"/>
              </w:rPr>
              <w:t>(1)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5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0.33</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w:t>
            </w:r>
          </w:p>
        </w:tc>
      </w:tr>
      <w:tr>
        <w:trPr>
          <w:trHeight w:val="252"/>
        </w:trPr>
        <w:tc>
          <w:tcPr>
            <w:tcW w:w="3660" w:type="dxa"/>
            <w:vAlign w:val="bottom"/>
          </w:tcPr>
          <w:p>
            <w:pPr>
              <w:spacing w:after="0" w:line="252" w:lineRule="exact"/>
              <w:rPr>
                <w:sz w:val="20"/>
                <w:szCs w:val="20"/>
                <w:color w:val="auto"/>
              </w:rPr>
            </w:pPr>
            <w:r>
              <w:rPr>
                <w:rFonts w:ascii="Arial" w:cs="Arial" w:eastAsia="Arial" w:hAnsi="Arial"/>
                <w:sz w:val="18"/>
                <w:szCs w:val="18"/>
                <w:color w:val="auto"/>
              </w:rPr>
              <w:t xml:space="preserve">Net increase in net assets per share </w:t>
            </w:r>
            <w:r>
              <w:rPr>
                <w:rFonts w:ascii="Arial" w:cs="Arial" w:eastAsia="Arial" w:hAnsi="Arial"/>
                <w:sz w:val="29"/>
                <w:szCs w:val="29"/>
                <w:color w:val="auto"/>
                <w:vertAlign w:val="superscript"/>
              </w:rPr>
              <w:t>(1)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0.21</w:t>
            </w:r>
          </w:p>
        </w:tc>
        <w:tc>
          <w:tcPr>
            <w:tcW w:w="5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0.24</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r>
      <w:tr>
        <w:trPr>
          <w:trHeight w:val="252"/>
        </w:trPr>
        <w:tc>
          <w:tcPr>
            <w:tcW w:w="3660" w:type="dxa"/>
            <w:vAlign w:val="bottom"/>
            <w:shd w:val="clear" w:color="auto" w:fill="CCEEFF"/>
          </w:tcPr>
          <w:p>
            <w:pPr>
              <w:spacing w:after="0" w:line="252" w:lineRule="exact"/>
              <w:rPr>
                <w:sz w:val="20"/>
                <w:szCs w:val="20"/>
                <w:color w:val="auto"/>
              </w:rPr>
            </w:pPr>
            <w:r>
              <w:rPr>
                <w:rFonts w:ascii="Arial" w:cs="Arial" w:eastAsia="Arial" w:hAnsi="Arial"/>
                <w:sz w:val="18"/>
                <w:szCs w:val="18"/>
                <w:color w:val="auto"/>
              </w:rPr>
              <w:t xml:space="preserve">Net asset value per share at period end </w:t>
            </w:r>
            <w:r>
              <w:rPr>
                <w:rFonts w:ascii="Arial" w:cs="Arial" w:eastAsia="Arial" w:hAnsi="Arial"/>
                <w:sz w:val="29"/>
                <w:szCs w:val="29"/>
                <w:color w:val="auto"/>
                <w:vertAlign w:val="superscript"/>
              </w:rPr>
              <w:t>(2)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5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11.81</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w:t>
            </w:r>
          </w:p>
        </w:tc>
      </w:tr>
    </w:tbl>
    <w:p>
      <w:pPr>
        <w:spacing w:after="0" w:line="200" w:lineRule="exact"/>
        <w:rPr>
          <w:sz w:val="20"/>
          <w:szCs w:val="20"/>
          <w:color w:val="auto"/>
        </w:rPr>
      </w:pPr>
    </w:p>
    <w:p>
      <w:pPr>
        <w:ind w:left="340" w:hanging="316"/>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weighted average shares outstanding for the respective period.</w:t>
      </w:r>
    </w:p>
    <w:p>
      <w:pPr>
        <w:spacing w:after="0" w:line="16" w:lineRule="exact"/>
        <w:rPr>
          <w:rFonts w:ascii="Arial" w:cs="Arial" w:eastAsia="Arial" w:hAnsi="Arial"/>
          <w:sz w:val="18"/>
          <w:szCs w:val="18"/>
          <w:color w:val="auto"/>
        </w:rPr>
      </w:pPr>
    </w:p>
    <w:p>
      <w:pPr>
        <w:ind w:left="340" w:hanging="316"/>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shares outstanding at the end of the respective period.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11430</wp:posOffset>
            </wp:positionV>
            <wp:extent cx="7249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0840"/>
          </w:cols>
          <w:pgMar w:left="540" w:top="678" w:right="51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1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As of December 31, 2018, we, including our Chief Executive Officer and Chief Financial Officer, evaluated the effectiveness of the design and operation of our disclosure controls and procedures (as defined in Rule 13a-15(e) of the Exchange Act). Based on that evaluation, our management, including our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Management’s Report on Internal Control Over Financial Reporting</w:t>
      </w:r>
    </w:p>
    <w:p>
      <w:pPr>
        <w:spacing w:after="0" w:line="2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Management’s Report on Internal Control Over Financial Reporting and RSM US LLP’s Report of Independent Registered Public Accounting Firm are included in “Item 8. Consolidated Financial Statements and Supplementary Data” of this Annual Report on Form 10-K.</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 Changes in internal controls over financial reporting.</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PART III</w:t>
      </w:r>
    </w:p>
    <w:p>
      <w:pPr>
        <w:spacing w:after="0" w:line="22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will file a definitive Proxy Statement for our 2019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information required by Item 10 is hereby incorporated by reference from our definitive Proxy Statement relating to our 2019 Annual Meeting of Stockholders, to be filed with the Securities and Exchange Commission not later than 120 days following the end of our fiscal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information required by Item 11 is hereby incorporated by reference from our definitive Proxy Statement relating to our 2019 Annual Meeting of Stockholders, to be filed with the Securities and Exchange Commission not later than 120 days following the end of our fiscal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information required by Item 12 is hereby incorporated by reference from our definitive Proxy Statement relating to our 2019 Annual Meeting of Stockholders, to be filed with the Securities and Exchange Commission not later than 120 days following the end of our fiscal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information required by Item 13 is hereby incorporated by reference from our definitive Proxy Statement relating to our 2019 Annual Meeting of Stockholders, to be filed with the Securities and Exchange Commission not later than 120 days following the end of our fiscal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information required by Item 14 is hereby incorporated by reference from our definitive Proxy Statement relating to our 2019 Annual Meeting of Stockholders, to be filed with the Securities and Exchange Commission not later than 120 days following the end of our fiscal year.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PART IV</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b w:val="1"/>
          <w:bCs w:val="1"/>
          <w:color w:val="auto"/>
        </w:rPr>
        <w:t>Financial statements</w:t>
      </w:r>
    </w:p>
    <w:p>
      <w:pPr>
        <w:spacing w:after="0" w:line="223" w:lineRule="exact"/>
        <w:rPr>
          <w:sz w:val="20"/>
          <w:szCs w:val="20"/>
          <w:color w:val="auto"/>
        </w:rPr>
      </w:pPr>
    </w:p>
    <w:p>
      <w:pPr>
        <w:ind w:left="900" w:hanging="258"/>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Financial statements — Refer to Item 8 starting on page 77.</w:t>
      </w:r>
    </w:p>
    <w:p>
      <w:pPr>
        <w:spacing w:after="0" w:line="217" w:lineRule="exact"/>
        <w:rPr>
          <w:rFonts w:ascii="Arial" w:cs="Arial" w:eastAsia="Arial" w:hAnsi="Arial"/>
          <w:sz w:val="18"/>
          <w:szCs w:val="18"/>
          <w:color w:val="auto"/>
        </w:rPr>
      </w:pPr>
    </w:p>
    <w:p>
      <w:pPr>
        <w:ind w:left="900" w:hanging="258"/>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Financial statement schedules — None</w:t>
      </w:r>
    </w:p>
    <w:p>
      <w:pPr>
        <w:spacing w:after="0" w:line="217" w:lineRule="exact"/>
        <w:rPr>
          <w:rFonts w:ascii="Arial" w:cs="Arial" w:eastAsia="Arial" w:hAnsi="Arial"/>
          <w:sz w:val="18"/>
          <w:szCs w:val="18"/>
          <w:color w:val="auto"/>
        </w:rPr>
      </w:pPr>
    </w:p>
    <w:p>
      <w:pPr>
        <w:ind w:left="900" w:hanging="258"/>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No.</w:t>
            </w:r>
          </w:p>
        </w:tc>
        <w:tc>
          <w:tcPr>
            <w:tcW w:w="4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40" w:type="dxa"/>
            <w:vAlign w:val="bottom"/>
            <w:gridSpan w:val="7"/>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166"/>
        </w:trPr>
        <w:tc>
          <w:tcPr>
            <w:tcW w:w="20" w:type="dxa"/>
            <w:vAlign w:val="bottom"/>
          </w:tcPr>
          <w:p>
            <w:pPr>
              <w:spacing w:after="0"/>
              <w:rPr>
                <w:sz w:val="14"/>
                <w:szCs w:val="14"/>
                <w:color w:val="auto"/>
              </w:rPr>
            </w:pPr>
          </w:p>
        </w:tc>
        <w:tc>
          <w:tcPr>
            <w:tcW w:w="300" w:type="dxa"/>
            <w:vAlign w:val="bottom"/>
            <w:tcBorders>
              <w:top w:val="single" w:sz="8" w:color="auto"/>
            </w:tcBorders>
            <w:gridSpan w:val="2"/>
          </w:tcPr>
          <w:p>
            <w:pPr>
              <w:spacing w:after="0" w:line="166" w:lineRule="exact"/>
              <w:rPr>
                <w:rFonts w:ascii="Arial" w:cs="Arial" w:eastAsia="Arial" w:hAnsi="Arial"/>
                <w:sz w:val="18"/>
                <w:szCs w:val="18"/>
                <w:color w:val="0000EE"/>
              </w:rPr>
            </w:pPr>
            <w:hyperlink r:id="rId200">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40" w:type="dxa"/>
            <w:vAlign w:val="bottom"/>
            <w:tcBorders>
              <w:top w:val="single" w:sz="8" w:color="auto"/>
            </w:tcBorders>
            <w:gridSpan w:val="12"/>
          </w:tcPr>
          <w:p>
            <w:pPr>
              <w:spacing w:after="0" w:line="166" w:lineRule="exact"/>
              <w:rPr>
                <w:rFonts w:ascii="Arial" w:cs="Arial" w:eastAsia="Arial" w:hAnsi="Arial"/>
                <w:sz w:val="18"/>
                <w:szCs w:val="18"/>
                <w:color w:val="0000EE"/>
                <w:w w:val="90"/>
              </w:rPr>
            </w:pPr>
            <w:hyperlink r:id="rId200">
              <w:r>
                <w:rPr>
                  <w:rFonts w:ascii="Arial" w:cs="Arial" w:eastAsia="Arial" w:hAnsi="Arial"/>
                  <w:sz w:val="18"/>
                  <w:szCs w:val="18"/>
                  <w:color w:val="0000EE"/>
                  <w:w w:val="90"/>
                </w:rPr>
                <w:t>Amended and Restated Certificate of Incorporation (Incorporated by reference to exhibit (a) of the Company’s Pre-effective Amendment No.</w:t>
              </w:r>
            </w:hyperlink>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tcBorders>
            <w:gridSpan w:val="12"/>
          </w:tcPr>
          <w:p>
            <w:pPr>
              <w:spacing w:after="0" w:line="192" w:lineRule="exact"/>
              <w:rPr>
                <w:rFonts w:ascii="Arial" w:cs="Arial" w:eastAsia="Arial" w:hAnsi="Arial"/>
                <w:sz w:val="18"/>
                <w:szCs w:val="18"/>
                <w:color w:val="0000EE"/>
              </w:rPr>
            </w:pPr>
            <w:hyperlink r:id="rId200">
              <w:r>
                <w:rPr>
                  <w:rFonts w:ascii="Arial" w:cs="Arial" w:eastAsia="Arial" w:hAnsi="Arial"/>
                  <w:sz w:val="18"/>
                  <w:szCs w:val="18"/>
                  <w:color w:val="0000EE"/>
                </w:rPr>
                <w:t>2 to the Registration Statement on Form N-2, filed on July 2, 2010)</w:t>
              </w:r>
            </w:hyperlink>
          </w:p>
        </w:tc>
      </w:tr>
      <w:tr>
        <w:trPr>
          <w:trHeight w:val="20"/>
        </w:trPr>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320" w:type="dxa"/>
            <w:vAlign w:val="bottom"/>
            <w:gridSpan w:val="3"/>
          </w:tcPr>
          <w:p>
            <w:pPr>
              <w:spacing w:after="0"/>
              <w:rPr>
                <w:rFonts w:ascii="Arial" w:cs="Arial" w:eastAsia="Arial" w:hAnsi="Arial"/>
                <w:sz w:val="18"/>
                <w:szCs w:val="18"/>
                <w:color w:val="0000EE"/>
              </w:rPr>
            </w:pPr>
            <w:hyperlink r:id="rId201">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97"/>
              </w:rPr>
            </w:pPr>
            <w:hyperlink r:id="rId201">
              <w:r>
                <w:rPr>
                  <w:rFonts w:ascii="Arial" w:cs="Arial" w:eastAsia="Arial" w:hAnsi="Arial"/>
                  <w:sz w:val="18"/>
                  <w:szCs w:val="18"/>
                  <w:color w:val="0000EE"/>
                  <w:w w:val="97"/>
                </w:rPr>
                <w:t>Amended and Restated Bylaws (Incorporated by reference to exhibit (b) of the Company’s Pre-effective Amendment No. 2 to the</w:t>
              </w:r>
            </w:hyperlink>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0" w:type="dxa"/>
            <w:vAlign w:val="bottom"/>
            <w:tcBorders>
              <w:top w:val="single" w:sz="8" w:color="0000EE"/>
              <w:bottom w:val="single" w:sz="8" w:color="0000EE"/>
            </w:tcBorders>
            <w:gridSpan w:val="5"/>
          </w:tcPr>
          <w:p>
            <w:pPr>
              <w:spacing w:after="0" w:line="192" w:lineRule="exact"/>
              <w:rPr>
                <w:rFonts w:ascii="Arial" w:cs="Arial" w:eastAsia="Arial" w:hAnsi="Arial"/>
                <w:sz w:val="18"/>
                <w:szCs w:val="18"/>
                <w:color w:val="0000EE"/>
                <w:w w:val="89"/>
              </w:rPr>
            </w:pPr>
            <w:hyperlink r:id="rId201">
              <w:r>
                <w:rPr>
                  <w:rFonts w:ascii="Arial" w:cs="Arial" w:eastAsia="Arial" w:hAnsi="Arial"/>
                  <w:sz w:val="18"/>
                  <w:szCs w:val="18"/>
                  <w:color w:val="0000EE"/>
                  <w:w w:val="89"/>
                </w:rPr>
                <w:t>Registration Statement on Form N-2, filed on July 2, 2010)</w:t>
              </w:r>
            </w:hyperlink>
          </w:p>
        </w:tc>
        <w:tc>
          <w:tcPr>
            <w:tcW w:w="5840" w:type="dxa"/>
            <w:vAlign w:val="bottom"/>
            <w:tcBorders>
              <w:top w:val="single" w:sz="8" w:color="0000EE"/>
            </w:tcBorders>
            <w:gridSpan w:val="7"/>
          </w:tcPr>
          <w:p>
            <w:pPr>
              <w:spacing w:after="0"/>
              <w:rPr>
                <w:sz w:val="16"/>
                <w:szCs w:val="16"/>
                <w:color w:val="auto"/>
              </w:rPr>
            </w:pPr>
          </w:p>
        </w:tc>
      </w:tr>
      <w:tr>
        <w:trPr>
          <w:trHeight w:val="404"/>
        </w:trPr>
        <w:tc>
          <w:tcPr>
            <w:tcW w:w="320" w:type="dxa"/>
            <w:vAlign w:val="bottom"/>
            <w:gridSpan w:val="3"/>
          </w:tcPr>
          <w:p>
            <w:pPr>
              <w:spacing w:after="0"/>
              <w:rPr>
                <w:rFonts w:ascii="Arial" w:cs="Arial" w:eastAsia="Arial" w:hAnsi="Arial"/>
                <w:sz w:val="18"/>
                <w:szCs w:val="18"/>
                <w:color w:val="0000EE"/>
              </w:rPr>
            </w:pPr>
            <w:hyperlink r:id="rId202">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90"/>
              </w:rPr>
            </w:pPr>
            <w:hyperlink r:id="rId202">
              <w:r>
                <w:rPr>
                  <w:rFonts w:ascii="Arial" w:cs="Arial" w:eastAsia="Arial" w:hAnsi="Arial"/>
                  <w:sz w:val="18"/>
                  <w:szCs w:val="18"/>
                  <w:color w:val="0000EE"/>
                  <w:w w:val="90"/>
                </w:rPr>
                <w:t>Form of Specimen Certificate (Incorporated by reference to exhibit (d) of the Company’s Pre-effective Amendment No. 3 to the Registration</w:t>
              </w:r>
            </w:hyperlink>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80" w:type="dxa"/>
            <w:vAlign w:val="bottom"/>
            <w:tcBorders>
              <w:top w:val="single" w:sz="8" w:color="0000EE"/>
              <w:bottom w:val="single" w:sz="8" w:color="0000EE"/>
            </w:tcBorders>
            <w:gridSpan w:val="4"/>
          </w:tcPr>
          <w:p>
            <w:pPr>
              <w:spacing w:after="0" w:line="192" w:lineRule="exact"/>
              <w:rPr>
                <w:rFonts w:ascii="Arial" w:cs="Arial" w:eastAsia="Arial" w:hAnsi="Arial"/>
                <w:sz w:val="18"/>
                <w:szCs w:val="18"/>
                <w:color w:val="0000EE"/>
                <w:w w:val="89"/>
              </w:rPr>
            </w:pPr>
            <w:hyperlink r:id="rId202">
              <w:r>
                <w:rPr>
                  <w:rFonts w:ascii="Arial" w:cs="Arial" w:eastAsia="Arial" w:hAnsi="Arial"/>
                  <w:sz w:val="18"/>
                  <w:szCs w:val="18"/>
                  <w:color w:val="0000EE"/>
                  <w:w w:val="89"/>
                </w:rPr>
                <w:t>Statement on Form N-2, filed on July 19, 2010)</w:t>
              </w:r>
            </w:hyperlink>
          </w:p>
        </w:tc>
        <w:tc>
          <w:tcPr>
            <w:tcW w:w="6640" w:type="dxa"/>
            <w:vAlign w:val="bottom"/>
            <w:tcBorders>
              <w:top w:val="single" w:sz="8" w:color="0000EE"/>
            </w:tcBorders>
            <w:gridSpan w:val="7"/>
          </w:tcPr>
          <w:p>
            <w:pPr>
              <w:spacing w:after="0"/>
              <w:rPr>
                <w:sz w:val="16"/>
                <w:szCs w:val="16"/>
                <w:color w:val="auto"/>
              </w:rPr>
            </w:pPr>
          </w:p>
        </w:tc>
        <w:tc>
          <w:tcPr>
            <w:tcW w:w="20" w:type="dxa"/>
            <w:vAlign w:val="bottom"/>
          </w:tcPr>
          <w:p>
            <w:pPr>
              <w:spacing w:after="0"/>
              <w:rPr>
                <w:sz w:val="16"/>
                <w:szCs w:val="16"/>
                <w:color w:val="auto"/>
              </w:rPr>
            </w:pPr>
          </w:p>
        </w:tc>
      </w:tr>
      <w:tr>
        <w:trPr>
          <w:trHeight w:val="404"/>
        </w:trPr>
        <w:tc>
          <w:tcPr>
            <w:tcW w:w="320" w:type="dxa"/>
            <w:vAlign w:val="bottom"/>
            <w:gridSpan w:val="3"/>
          </w:tcPr>
          <w:p>
            <w:pPr>
              <w:spacing w:after="0"/>
              <w:rPr>
                <w:rFonts w:ascii="Arial" w:cs="Arial" w:eastAsia="Arial" w:hAnsi="Arial"/>
                <w:sz w:val="18"/>
                <w:szCs w:val="18"/>
                <w:color w:val="0000EE"/>
              </w:rPr>
            </w:pPr>
            <w:hyperlink r:id="rId203">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90"/>
              </w:rPr>
            </w:pPr>
            <w:hyperlink r:id="rId203">
              <w:r>
                <w:rPr>
                  <w:rFonts w:ascii="Arial" w:cs="Arial" w:eastAsia="Arial" w:hAnsi="Arial"/>
                  <w:sz w:val="18"/>
                  <w:szCs w:val="18"/>
                  <w:color w:val="0000EE"/>
                  <w:w w:val="90"/>
                </w:rPr>
                <w:t>Indenture, dated as of March 23, 2012, between the Company and U.S. Bank National Association (Incorporated by reference to Exhibit (d)</w:t>
              </w:r>
            </w:hyperlink>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bottom w:val="single" w:sz="8" w:color="0000EE"/>
            </w:tcBorders>
            <w:gridSpan w:val="12"/>
          </w:tcPr>
          <w:p>
            <w:pPr>
              <w:spacing w:after="0" w:line="192" w:lineRule="exact"/>
              <w:rPr>
                <w:rFonts w:ascii="Arial" w:cs="Arial" w:eastAsia="Arial" w:hAnsi="Arial"/>
                <w:sz w:val="18"/>
                <w:szCs w:val="18"/>
                <w:color w:val="0000EE"/>
                <w:w w:val="90"/>
              </w:rPr>
            </w:pPr>
            <w:hyperlink r:id="rId203">
              <w:r>
                <w:rPr>
                  <w:rFonts w:ascii="Arial" w:cs="Arial" w:eastAsia="Arial" w:hAnsi="Arial"/>
                  <w:sz w:val="18"/>
                  <w:szCs w:val="18"/>
                  <w:color w:val="0000EE"/>
                  <w:w w:val="90"/>
                </w:rPr>
                <w:t>(7) of the Company’s Post-Effective Amendment No. 2 to the Registration Statement on Form N-2, File No. 333-178516, filed on March 23,</w:t>
              </w:r>
            </w:hyperlink>
          </w:p>
        </w:tc>
      </w:tr>
      <w:tr>
        <w:trPr>
          <w:trHeight w:val="192"/>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bottom w:val="single" w:sz="8" w:color="0000EE"/>
            </w:tcBorders>
          </w:tcPr>
          <w:p>
            <w:pPr>
              <w:spacing w:after="0" w:line="192" w:lineRule="exact"/>
              <w:rPr>
                <w:rFonts w:ascii="Arial" w:cs="Arial" w:eastAsia="Arial" w:hAnsi="Arial"/>
                <w:sz w:val="18"/>
                <w:szCs w:val="18"/>
                <w:color w:val="0000EE"/>
                <w:w w:val="86"/>
              </w:rPr>
            </w:pPr>
            <w:hyperlink r:id="rId203">
              <w:r>
                <w:rPr>
                  <w:rFonts w:ascii="Arial" w:cs="Arial" w:eastAsia="Arial" w:hAnsi="Arial"/>
                  <w:sz w:val="18"/>
                  <w:szCs w:val="18"/>
                  <w:color w:val="0000EE"/>
                  <w:w w:val="86"/>
                </w:rPr>
                <w:t>2012)</w:t>
              </w:r>
            </w:hyperlink>
          </w:p>
        </w:tc>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04"/>
        </w:trPr>
        <w:tc>
          <w:tcPr>
            <w:tcW w:w="320" w:type="dxa"/>
            <w:vAlign w:val="bottom"/>
            <w:gridSpan w:val="3"/>
          </w:tcPr>
          <w:p>
            <w:pPr>
              <w:spacing w:after="0"/>
              <w:rPr>
                <w:rFonts w:ascii="Arial" w:cs="Arial" w:eastAsia="Arial" w:hAnsi="Arial"/>
                <w:sz w:val="18"/>
                <w:szCs w:val="18"/>
                <w:color w:val="0000EE"/>
              </w:rPr>
            </w:pPr>
            <w:hyperlink r:id="rId204">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89"/>
              </w:rPr>
            </w:pPr>
            <w:hyperlink r:id="rId204">
              <w:r>
                <w:rPr>
                  <w:rFonts w:ascii="Arial" w:cs="Arial" w:eastAsia="Arial" w:hAnsi="Arial"/>
                  <w:sz w:val="18"/>
                  <w:szCs w:val="18"/>
                  <w:color w:val="0000EE"/>
                  <w:w w:val="89"/>
                </w:rPr>
                <w:t>Second Supplemental Indenture, dated as of September 29, 2017, between the Company and U.S. Bank National Association (Incorporated</w:t>
              </w:r>
            </w:hyperlink>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bottom w:val="single" w:sz="8" w:color="0000EE"/>
            </w:tcBorders>
            <w:gridSpan w:val="12"/>
          </w:tcPr>
          <w:p>
            <w:pPr>
              <w:spacing w:after="0" w:line="192"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by reference to Exhibit (d)(12) of the Company’s Post-Effective Amendment No. 5 to the Registration Statement on Form N-2, File No. 333-</w:t>
              </w:r>
            </w:hyperlink>
          </w:p>
        </w:tc>
      </w:tr>
      <w:tr>
        <w:trPr>
          <w:trHeight w:val="192"/>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2"/>
          </w:tcPr>
          <w:p>
            <w:pPr>
              <w:spacing w:after="0" w:line="192" w:lineRule="exact"/>
              <w:rPr>
                <w:rFonts w:ascii="Arial" w:cs="Arial" w:eastAsia="Arial" w:hAnsi="Arial"/>
                <w:sz w:val="18"/>
                <w:szCs w:val="18"/>
                <w:color w:val="0000EE"/>
              </w:rPr>
            </w:pPr>
            <w:hyperlink r:id="rId204">
              <w:r>
                <w:rPr>
                  <w:rFonts w:ascii="Arial" w:cs="Arial" w:eastAsia="Arial" w:hAnsi="Arial"/>
                  <w:sz w:val="18"/>
                  <w:szCs w:val="18"/>
                  <w:color w:val="0000EE"/>
                </w:rPr>
                <w:t>201886, filed on September 29, 2017)</w:t>
              </w:r>
            </w:hyperlink>
          </w:p>
        </w:tc>
      </w:tr>
      <w:tr>
        <w:trPr>
          <w:trHeight w:val="20"/>
        </w:trPr>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320" w:type="dxa"/>
            <w:vAlign w:val="bottom"/>
            <w:gridSpan w:val="3"/>
          </w:tcPr>
          <w:p>
            <w:pPr>
              <w:spacing w:after="0"/>
              <w:rPr>
                <w:rFonts w:ascii="Arial" w:cs="Arial" w:eastAsia="Arial" w:hAnsi="Arial"/>
                <w:sz w:val="18"/>
                <w:szCs w:val="18"/>
                <w:color w:val="0000EE"/>
              </w:rPr>
            </w:pPr>
            <w:hyperlink r:id="rId204">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rPr>
            </w:pPr>
            <w:hyperlink r:id="rId204">
              <w:r>
                <w:rPr>
                  <w:rFonts w:ascii="Arial" w:cs="Arial" w:eastAsia="Arial" w:hAnsi="Arial"/>
                  <w:sz w:val="18"/>
                  <w:szCs w:val="18"/>
                  <w:color w:val="0000EE"/>
                </w:rPr>
                <w:t>Form of 6.25% 2022 Notes due 2022 (included as part of Exhibit 4.3)</w:t>
              </w:r>
            </w:hyperlink>
          </w:p>
        </w:tc>
      </w:tr>
      <w:tr>
        <w:trPr>
          <w:trHeight w:val="20"/>
        </w:trPr>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1160" w:type="dxa"/>
            <w:vAlign w:val="bottom"/>
            <w:gridSpan w:val="4"/>
          </w:tcPr>
          <w:p>
            <w:pPr>
              <w:spacing w:after="0"/>
              <w:rPr>
                <w:rFonts w:ascii="Arial" w:cs="Arial" w:eastAsia="Arial" w:hAnsi="Arial"/>
                <w:sz w:val="18"/>
                <w:szCs w:val="18"/>
                <w:color w:val="0000EE"/>
              </w:rPr>
            </w:pPr>
            <w:hyperlink r:id="rId20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89"/>
              </w:rPr>
            </w:pPr>
            <w:hyperlink r:id="rId205">
              <w:r>
                <w:rPr>
                  <w:rFonts w:ascii="Arial" w:cs="Arial" w:eastAsia="Arial" w:hAnsi="Arial"/>
                  <w:sz w:val="18"/>
                  <w:szCs w:val="18"/>
                  <w:color w:val="0000EE"/>
                  <w:w w:val="89"/>
                </w:rPr>
                <w:t>Amended and Restated Investment Management Agreement (Incorporated by reference to Exhibit 10.1 of the Company’s Current Report on</w:t>
              </w:r>
            </w:hyperlink>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tcBorders>
            <w:gridSpan w:val="12"/>
          </w:tcPr>
          <w:p>
            <w:pPr>
              <w:spacing w:after="0" w:line="192" w:lineRule="exact"/>
              <w:rPr>
                <w:rFonts w:ascii="Arial" w:cs="Arial" w:eastAsia="Arial" w:hAnsi="Arial"/>
                <w:sz w:val="18"/>
                <w:szCs w:val="18"/>
                <w:color w:val="0000EE"/>
              </w:rPr>
            </w:pPr>
            <w:hyperlink r:id="rId205">
              <w:r>
                <w:rPr>
                  <w:rFonts w:ascii="Arial" w:cs="Arial" w:eastAsia="Arial" w:hAnsi="Arial"/>
                  <w:sz w:val="18"/>
                  <w:szCs w:val="18"/>
                  <w:color w:val="0000EE"/>
                </w:rPr>
                <w:t>Form 8-K, filed on August 5, 2014)</w:t>
              </w:r>
            </w:hyperlink>
          </w:p>
        </w:tc>
      </w:tr>
      <w:tr>
        <w:trPr>
          <w:trHeight w:val="20"/>
        </w:trPr>
        <w:tc>
          <w:tcPr>
            <w:tcW w:w="11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1160" w:type="dxa"/>
            <w:vAlign w:val="bottom"/>
            <w:gridSpan w:val="4"/>
          </w:tcPr>
          <w:p>
            <w:pPr>
              <w:spacing w:after="0"/>
              <w:rPr>
                <w:rFonts w:ascii="Arial" w:cs="Arial" w:eastAsia="Arial" w:hAnsi="Arial"/>
                <w:sz w:val="18"/>
                <w:szCs w:val="18"/>
                <w:color w:val="0000EE"/>
              </w:rPr>
            </w:pPr>
            <w:hyperlink r:id="rId206">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2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90"/>
              </w:rPr>
            </w:pPr>
            <w:hyperlink r:id="rId206">
              <w:r>
                <w:rPr>
                  <w:rFonts w:ascii="Arial" w:cs="Arial" w:eastAsia="Arial" w:hAnsi="Arial"/>
                  <w:sz w:val="18"/>
                  <w:szCs w:val="18"/>
                  <w:color w:val="0000EE"/>
                  <w:w w:val="90"/>
                </w:rPr>
                <w:t>Form of Custodial Agreement (Incorporated by reference to exhibit (j) of the Company’s Pre-effective Amendment No. 3 to the Registration</w:t>
              </w:r>
            </w:hyperlink>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80" w:type="dxa"/>
            <w:vAlign w:val="bottom"/>
            <w:tcBorders>
              <w:top w:val="single" w:sz="8" w:color="0000EE"/>
              <w:bottom w:val="single" w:sz="8" w:color="0000EE"/>
            </w:tcBorders>
            <w:gridSpan w:val="4"/>
          </w:tcPr>
          <w:p>
            <w:pPr>
              <w:spacing w:after="0" w:line="192" w:lineRule="exact"/>
              <w:rPr>
                <w:rFonts w:ascii="Arial" w:cs="Arial" w:eastAsia="Arial" w:hAnsi="Arial"/>
                <w:sz w:val="18"/>
                <w:szCs w:val="18"/>
                <w:color w:val="0000EE"/>
                <w:w w:val="89"/>
              </w:rPr>
            </w:pPr>
            <w:hyperlink r:id="rId206">
              <w:r>
                <w:rPr>
                  <w:rFonts w:ascii="Arial" w:cs="Arial" w:eastAsia="Arial" w:hAnsi="Arial"/>
                  <w:sz w:val="18"/>
                  <w:szCs w:val="18"/>
                  <w:color w:val="0000EE"/>
                  <w:w w:val="89"/>
                </w:rPr>
                <w:t>Statement on Form N-2, filed on July 19, 2010)</w:t>
              </w:r>
            </w:hyperlink>
          </w:p>
        </w:tc>
        <w:tc>
          <w:tcPr>
            <w:tcW w:w="6660" w:type="dxa"/>
            <w:vAlign w:val="bottom"/>
            <w:tcBorders>
              <w:top w:val="single" w:sz="8" w:color="0000EE"/>
            </w:tcBorders>
            <w:gridSpan w:val="8"/>
          </w:tcPr>
          <w:p>
            <w:pPr>
              <w:spacing w:after="0"/>
              <w:rPr>
                <w:sz w:val="16"/>
                <w:szCs w:val="16"/>
                <w:color w:val="auto"/>
              </w:rPr>
            </w:pPr>
          </w:p>
        </w:tc>
      </w:tr>
      <w:tr>
        <w:trPr>
          <w:trHeight w:val="404"/>
        </w:trPr>
        <w:tc>
          <w:tcPr>
            <w:tcW w:w="1160" w:type="dxa"/>
            <w:vAlign w:val="bottom"/>
            <w:gridSpan w:val="4"/>
          </w:tcPr>
          <w:p>
            <w:pPr>
              <w:spacing w:after="0"/>
              <w:rPr>
                <w:rFonts w:ascii="Arial" w:cs="Arial" w:eastAsia="Arial" w:hAnsi="Arial"/>
                <w:sz w:val="18"/>
                <w:szCs w:val="18"/>
                <w:color w:val="0000EE"/>
              </w:rPr>
            </w:pPr>
            <w:hyperlink r:id="rId207">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2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93"/>
              </w:rPr>
            </w:pPr>
            <w:hyperlink r:id="rId207">
              <w:r>
                <w:rPr>
                  <w:rFonts w:ascii="Arial" w:cs="Arial" w:eastAsia="Arial" w:hAnsi="Arial"/>
                  <w:sz w:val="18"/>
                  <w:szCs w:val="18"/>
                  <w:color w:val="0000EE"/>
                  <w:w w:val="93"/>
                </w:rPr>
                <w:t>Form of Administration Agreement (Incorporated by reference to exhibit (k)(1) of the Company’s Pre-effective Amendment No. 2 to the</w:t>
              </w:r>
            </w:hyperlink>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0" w:type="dxa"/>
            <w:vAlign w:val="bottom"/>
            <w:tcBorders>
              <w:top w:val="single" w:sz="8" w:color="0000EE"/>
              <w:bottom w:val="single" w:sz="8" w:color="0000EE"/>
            </w:tcBorders>
            <w:gridSpan w:val="5"/>
          </w:tcPr>
          <w:p>
            <w:pPr>
              <w:spacing w:after="0" w:line="192" w:lineRule="exact"/>
              <w:rPr>
                <w:rFonts w:ascii="Arial" w:cs="Arial" w:eastAsia="Arial" w:hAnsi="Arial"/>
                <w:sz w:val="18"/>
                <w:szCs w:val="18"/>
                <w:color w:val="0000EE"/>
                <w:w w:val="89"/>
              </w:rPr>
            </w:pPr>
            <w:hyperlink r:id="rId207">
              <w:r>
                <w:rPr>
                  <w:rFonts w:ascii="Arial" w:cs="Arial" w:eastAsia="Arial" w:hAnsi="Arial"/>
                  <w:sz w:val="18"/>
                  <w:szCs w:val="18"/>
                  <w:color w:val="0000EE"/>
                  <w:w w:val="89"/>
                </w:rPr>
                <w:t>Registration Statement on Form N-2, filed on July 2, 2010)</w:t>
              </w:r>
            </w:hyperlink>
          </w:p>
        </w:tc>
        <w:tc>
          <w:tcPr>
            <w:tcW w:w="5840" w:type="dxa"/>
            <w:vAlign w:val="bottom"/>
            <w:tcBorders>
              <w:top w:val="single" w:sz="8" w:color="0000EE"/>
            </w:tcBorders>
            <w:gridSpan w:val="7"/>
          </w:tcPr>
          <w:p>
            <w:pPr>
              <w:spacing w:after="0"/>
              <w:rPr>
                <w:sz w:val="16"/>
                <w:szCs w:val="16"/>
                <w:color w:val="auto"/>
              </w:rPr>
            </w:pPr>
          </w:p>
        </w:tc>
      </w:tr>
      <w:tr>
        <w:trPr>
          <w:trHeight w:val="404"/>
        </w:trPr>
        <w:tc>
          <w:tcPr>
            <w:tcW w:w="1160" w:type="dxa"/>
            <w:vAlign w:val="bottom"/>
            <w:gridSpan w:val="4"/>
          </w:tcPr>
          <w:p>
            <w:pPr>
              <w:spacing w:after="0"/>
              <w:rPr>
                <w:rFonts w:ascii="Arial" w:cs="Arial" w:eastAsia="Arial" w:hAnsi="Arial"/>
                <w:sz w:val="18"/>
                <w:szCs w:val="18"/>
                <w:color w:val="0000EE"/>
              </w:rPr>
            </w:pPr>
            <w:hyperlink r:id="rId208">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22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89"/>
              </w:rPr>
            </w:pPr>
            <w:hyperlink r:id="rId208">
              <w:r>
                <w:rPr>
                  <w:rFonts w:ascii="Arial" w:cs="Arial" w:eastAsia="Arial" w:hAnsi="Arial"/>
                  <w:sz w:val="18"/>
                  <w:szCs w:val="18"/>
                  <w:color w:val="0000EE"/>
                  <w:w w:val="89"/>
                </w:rPr>
                <w:t>Form of Trademark License Agreement by and between the Company and Horizon Technology Finance Management, LLC (Incorporated by</w:t>
              </w:r>
            </w:hyperlink>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bottom w:val="single" w:sz="8" w:color="0000EE"/>
            </w:tcBorders>
            <w:gridSpan w:val="12"/>
          </w:tcPr>
          <w:p>
            <w:pPr>
              <w:spacing w:after="0" w:line="192" w:lineRule="exact"/>
              <w:rPr>
                <w:rFonts w:ascii="Arial" w:cs="Arial" w:eastAsia="Arial" w:hAnsi="Arial"/>
                <w:sz w:val="18"/>
                <w:szCs w:val="18"/>
                <w:color w:val="0000EE"/>
                <w:w w:val="93"/>
              </w:rPr>
            </w:pPr>
            <w:hyperlink r:id="rId208">
              <w:r>
                <w:rPr>
                  <w:rFonts w:ascii="Arial" w:cs="Arial" w:eastAsia="Arial" w:hAnsi="Arial"/>
                  <w:sz w:val="18"/>
                  <w:szCs w:val="18"/>
                  <w:color w:val="0000EE"/>
                  <w:w w:val="93"/>
                </w:rPr>
                <w:t>reference to exhibit (k)(2) of the Company’s Pre-effective Amendment No. 2 to the Registration Statement on Form N-2, filed on July 2,</w:t>
              </w:r>
            </w:hyperlink>
          </w:p>
        </w:tc>
      </w:tr>
      <w:tr>
        <w:trPr>
          <w:trHeight w:val="192"/>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bottom w:val="single" w:sz="8" w:color="0000EE"/>
            </w:tcBorders>
          </w:tcPr>
          <w:p>
            <w:pPr>
              <w:spacing w:after="0" w:line="192" w:lineRule="exact"/>
              <w:rPr>
                <w:rFonts w:ascii="Arial" w:cs="Arial" w:eastAsia="Arial" w:hAnsi="Arial"/>
                <w:sz w:val="18"/>
                <w:szCs w:val="18"/>
                <w:color w:val="0000EE"/>
                <w:w w:val="86"/>
              </w:rPr>
            </w:pPr>
            <w:hyperlink r:id="rId208">
              <w:r>
                <w:rPr>
                  <w:rFonts w:ascii="Arial" w:cs="Arial" w:eastAsia="Arial" w:hAnsi="Arial"/>
                  <w:sz w:val="18"/>
                  <w:szCs w:val="18"/>
                  <w:color w:val="0000EE"/>
                  <w:w w:val="86"/>
                </w:rPr>
                <w:t>2010)</w:t>
              </w:r>
            </w:hyperlink>
          </w:p>
        </w:tc>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04"/>
        </w:trPr>
        <w:tc>
          <w:tcPr>
            <w:tcW w:w="1160" w:type="dxa"/>
            <w:vAlign w:val="bottom"/>
            <w:gridSpan w:val="4"/>
          </w:tcPr>
          <w:p>
            <w:pPr>
              <w:spacing w:after="0"/>
              <w:rPr>
                <w:rFonts w:ascii="Arial" w:cs="Arial" w:eastAsia="Arial" w:hAnsi="Arial"/>
                <w:sz w:val="18"/>
                <w:szCs w:val="18"/>
                <w:color w:val="0000EE"/>
              </w:rPr>
            </w:pPr>
            <w:hyperlink r:id="rId209">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22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94"/>
              </w:rPr>
            </w:pPr>
            <w:hyperlink r:id="rId209">
              <w:r>
                <w:rPr>
                  <w:rFonts w:ascii="Arial" w:cs="Arial" w:eastAsia="Arial" w:hAnsi="Arial"/>
                  <w:sz w:val="18"/>
                  <w:szCs w:val="18"/>
                  <w:color w:val="0000EE"/>
                  <w:w w:val="94"/>
                </w:rPr>
                <w:t>Form of Dividend Reinvestment Plan (Incorporated by reference to exhibit (e) of the Company’s Pre-effective Amendment No. 2 to the</w:t>
              </w:r>
            </w:hyperlink>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0" w:type="dxa"/>
            <w:vAlign w:val="bottom"/>
            <w:tcBorders>
              <w:top w:val="single" w:sz="8" w:color="0000EE"/>
              <w:bottom w:val="single" w:sz="8" w:color="0000EE"/>
            </w:tcBorders>
            <w:gridSpan w:val="5"/>
          </w:tcPr>
          <w:p>
            <w:pPr>
              <w:spacing w:after="0" w:line="192" w:lineRule="exact"/>
              <w:rPr>
                <w:rFonts w:ascii="Arial" w:cs="Arial" w:eastAsia="Arial" w:hAnsi="Arial"/>
                <w:sz w:val="18"/>
                <w:szCs w:val="18"/>
                <w:color w:val="0000EE"/>
                <w:w w:val="89"/>
              </w:rPr>
            </w:pPr>
            <w:hyperlink r:id="rId209">
              <w:r>
                <w:rPr>
                  <w:rFonts w:ascii="Arial" w:cs="Arial" w:eastAsia="Arial" w:hAnsi="Arial"/>
                  <w:sz w:val="18"/>
                  <w:szCs w:val="18"/>
                  <w:color w:val="0000EE"/>
                  <w:w w:val="89"/>
                </w:rPr>
                <w:t>Registration Statement on Form N-2, filed on July 2, 2010)</w:t>
              </w:r>
            </w:hyperlink>
          </w:p>
        </w:tc>
        <w:tc>
          <w:tcPr>
            <w:tcW w:w="5840" w:type="dxa"/>
            <w:vAlign w:val="bottom"/>
            <w:tcBorders>
              <w:top w:val="single" w:sz="8" w:color="0000EE"/>
            </w:tcBorders>
            <w:gridSpan w:val="7"/>
          </w:tcPr>
          <w:p>
            <w:pPr>
              <w:spacing w:after="0"/>
              <w:rPr>
                <w:sz w:val="16"/>
                <w:szCs w:val="16"/>
                <w:color w:val="auto"/>
              </w:rPr>
            </w:pPr>
          </w:p>
        </w:tc>
      </w:tr>
      <w:tr>
        <w:trPr>
          <w:trHeight w:val="404"/>
        </w:trPr>
        <w:tc>
          <w:tcPr>
            <w:tcW w:w="1160" w:type="dxa"/>
            <w:vAlign w:val="bottom"/>
            <w:gridSpan w:val="4"/>
          </w:tcPr>
          <w:p>
            <w:pPr>
              <w:spacing w:after="0"/>
              <w:rPr>
                <w:rFonts w:ascii="Arial" w:cs="Arial" w:eastAsia="Arial" w:hAnsi="Arial"/>
                <w:sz w:val="18"/>
                <w:szCs w:val="18"/>
                <w:color w:val="0000EE"/>
              </w:rPr>
            </w:pPr>
            <w:hyperlink r:id="rId210">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22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89"/>
              </w:rPr>
            </w:pPr>
            <w:hyperlink r:id="rId210">
              <w:r>
                <w:rPr>
                  <w:rFonts w:ascii="Arial" w:cs="Arial" w:eastAsia="Arial" w:hAnsi="Arial"/>
                  <w:sz w:val="18"/>
                  <w:szCs w:val="18"/>
                  <w:color w:val="0000EE"/>
                  <w:w w:val="89"/>
                </w:rPr>
                <w:t>Amended and Restated Loan and Security Agreement, dated as of November 4, 2013, by and among Horizon Credit II LLC, as the borrower,</w:t>
              </w:r>
            </w:hyperlink>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bottom w:val="single" w:sz="8" w:color="0000EE"/>
            </w:tcBorders>
            <w:gridSpan w:val="12"/>
          </w:tcPr>
          <w:p>
            <w:pPr>
              <w:spacing w:after="0" w:line="192"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the Lenders that are signatories thereto, as the lenders, and Key Equipment Finance Inc., as the arranger and the agent (Incorporated by</w:t>
              </w:r>
            </w:hyperlink>
          </w:p>
        </w:tc>
      </w:tr>
      <w:tr>
        <w:trPr>
          <w:trHeight w:val="192"/>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2"/>
          </w:tcPr>
          <w:p>
            <w:pPr>
              <w:spacing w:after="0" w:line="192" w:lineRule="exact"/>
              <w:rPr>
                <w:rFonts w:ascii="Arial" w:cs="Arial" w:eastAsia="Arial" w:hAnsi="Arial"/>
                <w:sz w:val="18"/>
                <w:szCs w:val="18"/>
                <w:color w:val="0000EE"/>
              </w:rPr>
            </w:pPr>
            <w:hyperlink r:id="rId210">
              <w:r>
                <w:rPr>
                  <w:rFonts w:ascii="Arial" w:cs="Arial" w:eastAsia="Arial" w:hAnsi="Arial"/>
                  <w:sz w:val="18"/>
                  <w:szCs w:val="18"/>
                  <w:color w:val="0000EE"/>
                </w:rPr>
                <w:t>reference to Exhibit 10.14 of the Company’s Annual Report on Form 10-K, filed on March 11, 2014)</w:t>
              </w:r>
            </w:hyperlink>
          </w:p>
        </w:tc>
      </w:tr>
      <w:tr>
        <w:trPr>
          <w:trHeight w:val="20"/>
        </w:trPr>
        <w:tc>
          <w:tcPr>
            <w:tcW w:w="11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40" w:type="dxa"/>
            <w:vAlign w:val="bottom"/>
            <w:gridSpan w:val="8"/>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1160" w:type="dxa"/>
            <w:vAlign w:val="bottom"/>
            <w:gridSpan w:val="4"/>
          </w:tcPr>
          <w:p>
            <w:pPr>
              <w:spacing w:after="0"/>
              <w:rPr>
                <w:rFonts w:ascii="Arial" w:cs="Arial" w:eastAsia="Arial" w:hAnsi="Arial"/>
                <w:sz w:val="18"/>
                <w:szCs w:val="18"/>
                <w:color w:val="0000EE"/>
              </w:rPr>
            </w:pPr>
            <w:hyperlink r:id="rId211">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22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92"/>
              </w:rPr>
            </w:pPr>
            <w:hyperlink r:id="rId211">
              <w:r>
                <w:rPr>
                  <w:rFonts w:ascii="Arial" w:cs="Arial" w:eastAsia="Arial" w:hAnsi="Arial"/>
                  <w:sz w:val="18"/>
                  <w:szCs w:val="18"/>
                  <w:color w:val="0000EE"/>
                  <w:w w:val="92"/>
                </w:rPr>
                <w:t>Amendment No. 1 to Amended and Restated Loan Agreement, dated as of August 12, 2015, by and among Horizon Credit II LLC, as the</w:t>
              </w:r>
            </w:hyperlink>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bottom w:val="single" w:sz="8" w:color="0000EE"/>
            </w:tcBorders>
            <w:gridSpan w:val="12"/>
          </w:tcPr>
          <w:p>
            <w:pPr>
              <w:spacing w:after="0" w:line="192" w:lineRule="exact"/>
              <w:rPr>
                <w:rFonts w:ascii="Arial" w:cs="Arial" w:eastAsia="Arial" w:hAnsi="Arial"/>
                <w:sz w:val="18"/>
                <w:szCs w:val="18"/>
                <w:color w:val="0000EE"/>
                <w:w w:val="88"/>
              </w:rPr>
            </w:pPr>
            <w:hyperlink r:id="rId211">
              <w:r>
                <w:rPr>
                  <w:rFonts w:ascii="Arial" w:cs="Arial" w:eastAsia="Arial" w:hAnsi="Arial"/>
                  <w:sz w:val="18"/>
                  <w:szCs w:val="18"/>
                  <w:color w:val="0000EE"/>
                  <w:w w:val="88"/>
                </w:rPr>
                <w:t>borrower, Alostar Bank of Commerce, as lender, and KeyBank National Association, as lender, arranger and agent (Incorporated by reference</w:t>
              </w:r>
            </w:hyperlink>
          </w:p>
        </w:tc>
      </w:tr>
      <w:tr>
        <w:trPr>
          <w:trHeight w:val="192"/>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580" w:type="dxa"/>
            <w:vAlign w:val="bottom"/>
            <w:tcBorders>
              <w:bottom w:val="single" w:sz="8" w:color="0000EE"/>
            </w:tcBorders>
            <w:gridSpan w:val="10"/>
          </w:tcPr>
          <w:p>
            <w:pPr>
              <w:spacing w:after="0" w:line="192"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to Exhibit (k)(13) of Pre-effective Amendment No. 3 to the Company’s Registration Statement on Form N-2, filed on August 19, 2015)</w:t>
              </w:r>
            </w:hyperlink>
          </w:p>
        </w:tc>
        <w:tc>
          <w:tcPr>
            <w:tcW w:w="460" w:type="dxa"/>
            <w:vAlign w:val="bottom"/>
            <w:gridSpan w:val="2"/>
          </w:tcPr>
          <w:p>
            <w:pPr>
              <w:spacing w:after="0"/>
              <w:rPr>
                <w:sz w:val="16"/>
                <w:szCs w:val="16"/>
                <w:color w:val="auto"/>
              </w:rPr>
            </w:pPr>
          </w:p>
        </w:tc>
      </w:tr>
      <w:tr>
        <w:trPr>
          <w:trHeight w:val="404"/>
        </w:trPr>
        <w:tc>
          <w:tcPr>
            <w:tcW w:w="1160" w:type="dxa"/>
            <w:vAlign w:val="bottom"/>
            <w:gridSpan w:val="4"/>
          </w:tcPr>
          <w:p>
            <w:pPr>
              <w:spacing w:after="0"/>
              <w:rPr>
                <w:rFonts w:ascii="Arial" w:cs="Arial" w:eastAsia="Arial" w:hAnsi="Arial"/>
                <w:sz w:val="18"/>
                <w:szCs w:val="18"/>
                <w:color w:val="0000EE"/>
              </w:rPr>
            </w:pPr>
            <w:hyperlink r:id="rId212">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22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91"/>
              </w:rPr>
            </w:pPr>
            <w:hyperlink r:id="rId212">
              <w:r>
                <w:rPr>
                  <w:rFonts w:ascii="Arial" w:cs="Arial" w:eastAsia="Arial" w:hAnsi="Arial"/>
                  <w:sz w:val="18"/>
                  <w:szCs w:val="18"/>
                  <w:color w:val="0000EE"/>
                  <w:w w:val="91"/>
                </w:rPr>
                <w:t>Amended and Restated Sale and Servicing Agreement, dated as of November 4, 2013, by and among Horizon Credit II LLC, as the buyer,</w:t>
              </w:r>
            </w:hyperlink>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bottom w:val="single" w:sz="8" w:color="0000EE"/>
            </w:tcBorders>
            <w:gridSpan w:val="12"/>
          </w:tcPr>
          <w:p>
            <w:pPr>
              <w:spacing w:after="0" w:line="192" w:lineRule="exact"/>
              <w:rPr>
                <w:rFonts w:ascii="Arial" w:cs="Arial" w:eastAsia="Arial" w:hAnsi="Arial"/>
                <w:sz w:val="18"/>
                <w:szCs w:val="18"/>
                <w:color w:val="0000EE"/>
                <w:w w:val="92"/>
              </w:rPr>
            </w:pPr>
            <w:hyperlink r:id="rId212">
              <w:r>
                <w:rPr>
                  <w:rFonts w:ascii="Arial" w:cs="Arial" w:eastAsia="Arial" w:hAnsi="Arial"/>
                  <w:sz w:val="18"/>
                  <w:szCs w:val="18"/>
                  <w:color w:val="0000EE"/>
                  <w:w w:val="92"/>
                </w:rPr>
                <w:t>Horizon Technology Finance Corporation, as the originator and the servicer, Horizon Technology Finance Management LLC, as the sub-</w:t>
              </w:r>
            </w:hyperlink>
          </w:p>
        </w:tc>
      </w:tr>
      <w:tr>
        <w:trPr>
          <w:trHeight w:val="192"/>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12"/>
          </w:tcPr>
          <w:p>
            <w:pPr>
              <w:spacing w:after="0" w:line="192" w:lineRule="exact"/>
              <w:rPr>
                <w:rFonts w:ascii="Arial" w:cs="Arial" w:eastAsia="Arial" w:hAnsi="Arial"/>
                <w:sz w:val="18"/>
                <w:szCs w:val="18"/>
                <w:color w:val="0000EE"/>
                <w:w w:val="92"/>
              </w:rPr>
            </w:pPr>
            <w:hyperlink r:id="rId212">
              <w:r>
                <w:rPr>
                  <w:rFonts w:ascii="Arial" w:cs="Arial" w:eastAsia="Arial" w:hAnsi="Arial"/>
                  <w:sz w:val="18"/>
                  <w:szCs w:val="18"/>
                  <w:color w:val="0000EE"/>
                  <w:w w:val="92"/>
                </w:rPr>
                <w:t>servicer, U.S. Bank National Association, as the collateral custodian and backup servicer, and Key Equipment Finance Inc., as the agent</w:t>
              </w:r>
            </w:hyperlink>
          </w:p>
        </w:tc>
      </w:tr>
      <w:tr>
        <w:trPr>
          <w:trHeight w:val="192"/>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tcBorders>
              <w:top w:val="single" w:sz="8" w:color="0000EE"/>
            </w:tcBorders>
            <w:gridSpan w:val="11"/>
          </w:tcPr>
          <w:p>
            <w:pPr>
              <w:spacing w:after="0" w:line="192" w:lineRule="exact"/>
              <w:rPr>
                <w:rFonts w:ascii="Arial" w:cs="Arial" w:eastAsia="Arial" w:hAnsi="Arial"/>
                <w:sz w:val="18"/>
                <w:szCs w:val="18"/>
                <w:color w:val="0000EE"/>
              </w:rPr>
            </w:pPr>
            <w:hyperlink r:id="rId212">
              <w:r>
                <w:rPr>
                  <w:rFonts w:ascii="Arial" w:cs="Arial" w:eastAsia="Arial" w:hAnsi="Arial"/>
                  <w:sz w:val="18"/>
                  <w:szCs w:val="18"/>
                  <w:color w:val="0000EE"/>
                </w:rPr>
                <w:t>(Incorporated by reference to Exhibit 10.15 of the Company’s Annual Report on Form 10-K, filed on March 11, 2014)</w:t>
              </w:r>
            </w:hyperlink>
          </w:p>
        </w:tc>
        <w:tc>
          <w:tcPr>
            <w:tcW w:w="20" w:type="dxa"/>
            <w:vAlign w:val="bottom"/>
          </w:tcPr>
          <w:p>
            <w:pPr>
              <w:spacing w:after="0"/>
              <w:rPr>
                <w:sz w:val="16"/>
                <w:szCs w:val="16"/>
                <w:color w:val="auto"/>
              </w:rPr>
            </w:pPr>
          </w:p>
        </w:tc>
      </w:tr>
      <w:tr>
        <w:trPr>
          <w:trHeight w:val="656"/>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60" w:type="dxa"/>
            <w:vAlign w:val="bottom"/>
            <w:tcBorders>
              <w:top w:val="single" w:sz="8" w:color="0000EE"/>
              <w:bottom w:val="single" w:sz="8" w:color="auto"/>
            </w:tcBorders>
            <w:gridSpan w:val="6"/>
          </w:tcPr>
          <w:p>
            <w:pPr>
              <w:ind w:left="4200"/>
              <w:spacing w:after="0"/>
              <w:rPr>
                <w:sz w:val="20"/>
                <w:szCs w:val="20"/>
                <w:color w:val="auto"/>
              </w:rPr>
            </w:pPr>
            <w:r>
              <w:rPr>
                <w:rFonts w:ascii="Arial" w:cs="Arial" w:eastAsia="Arial" w:hAnsi="Arial"/>
                <w:sz w:val="18"/>
                <w:szCs w:val="18"/>
                <w:color w:val="auto"/>
              </w:rPr>
              <w:t>127</w:t>
            </w:r>
          </w:p>
        </w:tc>
        <w:tc>
          <w:tcPr>
            <w:tcW w:w="180" w:type="dxa"/>
            <w:vAlign w:val="bottom"/>
            <w:tcBorders>
              <w:top w:val="single" w:sz="8" w:color="0000EE"/>
              <w:bottom w:val="single" w:sz="8" w:color="auto"/>
            </w:tcBorders>
          </w:tcPr>
          <w:p>
            <w:pPr>
              <w:spacing w:after="0"/>
              <w:rPr>
                <w:sz w:val="24"/>
                <w:szCs w:val="24"/>
                <w:color w:val="auto"/>
              </w:rPr>
            </w:pPr>
          </w:p>
        </w:tc>
        <w:tc>
          <w:tcPr>
            <w:tcW w:w="2200" w:type="dxa"/>
            <w:vAlign w:val="bottom"/>
            <w:tcBorders>
              <w:top w:val="single" w:sz="8" w:color="0000EE"/>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0" w:right="2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gridSpan w:val="4"/>
          </w:tcPr>
          <w:p>
            <w:pPr>
              <w:spacing w:after="0"/>
              <w:rPr>
                <w:rFonts w:ascii="Arial" w:cs="Arial" w:eastAsia="Arial" w:hAnsi="Arial"/>
                <w:sz w:val="18"/>
                <w:szCs w:val="18"/>
                <w:color w:val="0000EE"/>
              </w:rPr>
            </w:pPr>
            <w:hyperlink r:id="rId213">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40" w:type="dxa"/>
            <w:vAlign w:val="bottom"/>
            <w:gridSpan w:val="14"/>
          </w:tcPr>
          <w:p>
            <w:pPr>
              <w:spacing w:after="0"/>
              <w:rPr>
                <w:rFonts w:ascii="Arial" w:cs="Arial" w:eastAsia="Arial" w:hAnsi="Arial"/>
                <w:sz w:val="18"/>
                <w:szCs w:val="18"/>
                <w:color w:val="0000EE"/>
                <w:w w:val="91"/>
              </w:rPr>
            </w:pPr>
            <w:hyperlink r:id="rId213">
              <w:r>
                <w:rPr>
                  <w:rFonts w:ascii="Arial" w:cs="Arial" w:eastAsia="Arial" w:hAnsi="Arial"/>
                  <w:sz w:val="18"/>
                  <w:szCs w:val="18"/>
                  <w:color w:val="0000EE"/>
                  <w:w w:val="91"/>
                </w:rPr>
                <w:t>Agreement Regarding Loan Assignment and Related Matters, dated as of November 4, 2013, by and among Horizon Credit II LLC, Wells</w:t>
              </w:r>
            </w:hyperlink>
          </w:p>
        </w:tc>
      </w:tr>
      <w:tr>
        <w:trPr>
          <w:trHeight w:val="192"/>
        </w:trPr>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40" w:type="dxa"/>
            <w:vAlign w:val="bottom"/>
            <w:tcBorders>
              <w:top w:val="single" w:sz="8" w:color="0000EE"/>
              <w:bottom w:val="single" w:sz="8" w:color="0000EE"/>
            </w:tcBorders>
            <w:gridSpan w:val="14"/>
          </w:tcPr>
          <w:p>
            <w:pPr>
              <w:spacing w:after="0" w:line="192"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Fargo Capital Finance, LLC and Key Equipment Finance Inc. (Incorporated by reference to Exhibit 10.16 of the Company’s Annual Report</w:t>
              </w:r>
            </w:hyperlink>
          </w:p>
        </w:tc>
      </w:tr>
      <w:tr>
        <w:trPr>
          <w:trHeight w:val="192"/>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40" w:type="dxa"/>
            <w:vAlign w:val="bottom"/>
            <w:gridSpan w:val="14"/>
          </w:tcPr>
          <w:p>
            <w:pPr>
              <w:spacing w:after="0" w:line="192" w:lineRule="exact"/>
              <w:rPr>
                <w:rFonts w:ascii="Arial" w:cs="Arial" w:eastAsia="Arial" w:hAnsi="Arial"/>
                <w:sz w:val="18"/>
                <w:szCs w:val="18"/>
                <w:color w:val="0000EE"/>
              </w:rPr>
            </w:pPr>
            <w:hyperlink r:id="rId213">
              <w:r>
                <w:rPr>
                  <w:rFonts w:ascii="Arial" w:cs="Arial" w:eastAsia="Arial" w:hAnsi="Arial"/>
                  <w:sz w:val="18"/>
                  <w:szCs w:val="18"/>
                  <w:color w:val="0000EE"/>
                </w:rPr>
                <w:t>on Form 10-K, filed on March 11, 2014)</w:t>
              </w:r>
            </w:hyperlink>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400" w:type="dxa"/>
            <w:vAlign w:val="bottom"/>
            <w:tcBorders>
              <w:bottom w:val="single" w:sz="8" w:color="0000EE"/>
            </w:tcBorders>
            <w:gridSpan w:val="4"/>
          </w:tcPr>
          <w:p>
            <w:pPr>
              <w:spacing w:after="0"/>
              <w:rPr>
                <w:rFonts w:ascii="Arial" w:cs="Arial" w:eastAsia="Arial" w:hAnsi="Arial"/>
                <w:sz w:val="18"/>
                <w:szCs w:val="18"/>
                <w:color w:val="0000EE"/>
                <w:w w:val="84"/>
              </w:rPr>
            </w:pPr>
            <w:hyperlink r:id="rId21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10</w:t>
              </w:r>
            </w:hyperlink>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Arial" w:cs="Arial" w:eastAsia="Arial" w:hAnsi="Arial"/>
                <w:sz w:val="18"/>
                <w:szCs w:val="18"/>
                <w:color w:val="0000EE"/>
                <w:w w:val="94"/>
              </w:rPr>
            </w:pPr>
            <w:hyperlink r:id="rId214">
              <w:r>
                <w:rPr>
                  <w:rFonts w:ascii="Arial" w:cs="Arial" w:eastAsia="Arial" w:hAnsi="Arial"/>
                  <w:sz w:val="18"/>
                  <w:szCs w:val="18"/>
                  <w:color w:val="0000EE"/>
                  <w:w w:val="94"/>
                </w:rPr>
                <w:t>Joinder Agreement, dated April 27, 2016, by and among MUFG Union Bank, N.A., as lender, KeyBank National Association as agent,</w:t>
              </w:r>
            </w:hyperlink>
          </w:p>
        </w:tc>
      </w:tr>
      <w:tr>
        <w:trPr>
          <w:trHeight w:val="192"/>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40" w:type="dxa"/>
            <w:vAlign w:val="bottom"/>
            <w:tcBorders>
              <w:bottom w:val="single" w:sz="8" w:color="0000EE"/>
            </w:tcBorders>
            <w:gridSpan w:val="14"/>
          </w:tcPr>
          <w:p>
            <w:pPr>
              <w:spacing w:after="0" w:line="192" w:lineRule="exact"/>
              <w:rPr>
                <w:rFonts w:ascii="Arial" w:cs="Arial" w:eastAsia="Arial" w:hAnsi="Arial"/>
                <w:sz w:val="18"/>
                <w:szCs w:val="18"/>
                <w:color w:val="0000EE"/>
                <w:w w:val="96"/>
              </w:rPr>
            </w:pPr>
            <w:hyperlink r:id="rId214">
              <w:r>
                <w:rPr>
                  <w:rFonts w:ascii="Arial" w:cs="Arial" w:eastAsia="Arial" w:hAnsi="Arial"/>
                  <w:sz w:val="18"/>
                  <w:szCs w:val="18"/>
                  <w:color w:val="0000EE"/>
                  <w:w w:val="96"/>
                </w:rPr>
                <w:t>Horizon Credit II LLC, as borrower, and the Company, as servicer (Incorporated by reference to Exhibit (k)(11) to the Post-Effective</w:t>
              </w:r>
            </w:hyperlink>
          </w:p>
        </w:tc>
      </w:tr>
      <w:tr>
        <w:trPr>
          <w:trHeight w:val="192"/>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40" w:type="dxa"/>
            <w:vAlign w:val="bottom"/>
            <w:gridSpan w:val="14"/>
          </w:tcPr>
          <w:p>
            <w:pPr>
              <w:spacing w:after="0" w:line="192" w:lineRule="exact"/>
              <w:rPr>
                <w:rFonts w:ascii="Arial" w:cs="Arial" w:eastAsia="Arial" w:hAnsi="Arial"/>
                <w:sz w:val="18"/>
                <w:szCs w:val="18"/>
                <w:color w:val="0000EE"/>
              </w:rPr>
            </w:pPr>
            <w:hyperlink r:id="rId214">
              <w:r>
                <w:rPr>
                  <w:rFonts w:ascii="Arial" w:cs="Arial" w:eastAsia="Arial" w:hAnsi="Arial"/>
                  <w:sz w:val="18"/>
                  <w:szCs w:val="18"/>
                  <w:color w:val="0000EE"/>
                </w:rPr>
                <w:t>Amendment No. 2 to the Company’s Registration Statement on Form N-2, File No. 333-201886, filed on June 10, 2016)</w:t>
              </w:r>
            </w:hyperlink>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400" w:type="dxa"/>
            <w:vAlign w:val="bottom"/>
            <w:tcBorders>
              <w:bottom w:val="single" w:sz="8" w:color="0000EE"/>
            </w:tcBorders>
            <w:gridSpan w:val="4"/>
          </w:tcPr>
          <w:p>
            <w:pPr>
              <w:spacing w:after="0"/>
              <w:rPr>
                <w:rFonts w:ascii="Arial" w:cs="Arial" w:eastAsia="Arial" w:hAnsi="Arial"/>
                <w:sz w:val="18"/>
                <w:szCs w:val="18"/>
                <w:color w:val="0000EE"/>
                <w:w w:val="84"/>
              </w:rPr>
            </w:pPr>
            <w:hyperlink r:id="rId215">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11</w:t>
              </w:r>
            </w:hyperlink>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Arial" w:cs="Arial" w:eastAsia="Arial" w:hAnsi="Arial"/>
                <w:sz w:val="18"/>
                <w:szCs w:val="18"/>
                <w:color w:val="0000EE"/>
                <w:w w:val="94"/>
              </w:rPr>
            </w:pPr>
            <w:hyperlink r:id="rId215">
              <w:r>
                <w:rPr>
                  <w:rFonts w:ascii="Arial" w:cs="Arial" w:eastAsia="Arial" w:hAnsi="Arial"/>
                  <w:sz w:val="18"/>
                  <w:szCs w:val="18"/>
                  <w:color w:val="0000EE"/>
                  <w:w w:val="94"/>
                </w:rPr>
                <w:t>Amendment No. 2 to Amended and Restated Loan Agreement, dated as of April 6, 2018, by and among Horizon Credit II LLC, as the</w:t>
              </w:r>
            </w:hyperlink>
          </w:p>
        </w:tc>
      </w:tr>
      <w:tr>
        <w:trPr>
          <w:trHeight w:val="192"/>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40" w:type="dxa"/>
            <w:vAlign w:val="bottom"/>
            <w:tcBorders>
              <w:bottom w:val="single" w:sz="8" w:color="0000EE"/>
            </w:tcBorders>
            <w:gridSpan w:val="14"/>
          </w:tcPr>
          <w:p>
            <w:pPr>
              <w:spacing w:after="0" w:line="192"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borrower, State Bank and Trust Company (successor by merger to AloStar Bank of Commerce), as lender, MUFG Union Bank, N.A., as</w:t>
              </w:r>
            </w:hyperlink>
          </w:p>
        </w:tc>
      </w:tr>
      <w:tr>
        <w:trPr>
          <w:trHeight w:val="192"/>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40" w:type="dxa"/>
            <w:vAlign w:val="bottom"/>
            <w:tcBorders>
              <w:bottom w:val="single" w:sz="8" w:color="0000EE"/>
            </w:tcBorders>
            <w:gridSpan w:val="14"/>
          </w:tcPr>
          <w:p>
            <w:pPr>
              <w:spacing w:after="0" w:line="192" w:lineRule="exact"/>
              <w:rPr>
                <w:rFonts w:ascii="Arial" w:cs="Arial" w:eastAsia="Arial" w:hAnsi="Arial"/>
                <w:sz w:val="18"/>
                <w:szCs w:val="18"/>
                <w:color w:val="0000EE"/>
                <w:w w:val="88"/>
              </w:rPr>
            </w:pPr>
            <w:hyperlink r:id="rId215">
              <w:r>
                <w:rPr>
                  <w:rFonts w:ascii="Arial" w:cs="Arial" w:eastAsia="Arial" w:hAnsi="Arial"/>
                  <w:sz w:val="18"/>
                  <w:szCs w:val="18"/>
                  <w:color w:val="0000EE"/>
                  <w:w w:val="88"/>
                </w:rPr>
                <w:t>lender, and KeyBank National Association (successor by merger to Key Equipment Finance Inc.) as lender, arranger, and agent (Incorporated</w:t>
              </w:r>
            </w:hyperlink>
          </w:p>
        </w:tc>
      </w:tr>
      <w:tr>
        <w:trPr>
          <w:trHeight w:val="192"/>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40" w:type="dxa"/>
            <w:vAlign w:val="bottom"/>
            <w:gridSpan w:val="14"/>
          </w:tcPr>
          <w:p>
            <w:pPr>
              <w:spacing w:after="0" w:line="192" w:lineRule="exact"/>
              <w:rPr>
                <w:rFonts w:ascii="Arial" w:cs="Arial" w:eastAsia="Arial" w:hAnsi="Arial"/>
                <w:sz w:val="18"/>
                <w:szCs w:val="18"/>
                <w:color w:val="0000EE"/>
              </w:rPr>
            </w:pPr>
            <w:hyperlink r:id="rId215">
              <w:r>
                <w:rPr>
                  <w:rFonts w:ascii="Arial" w:cs="Arial" w:eastAsia="Arial" w:hAnsi="Arial"/>
                  <w:sz w:val="18"/>
                  <w:szCs w:val="18"/>
                  <w:color w:val="0000EE"/>
                </w:rPr>
                <w:t>by reference to Exhibit 10.01 of the Quarterly Report on Form 10-Q of the Company, filed on May 1, 2018)</w:t>
              </w:r>
            </w:hyperlink>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400" w:type="dxa"/>
            <w:vAlign w:val="bottom"/>
            <w:tcBorders>
              <w:bottom w:val="single" w:sz="8" w:color="0000EE"/>
            </w:tcBorders>
            <w:gridSpan w:val="4"/>
          </w:tcPr>
          <w:p>
            <w:pPr>
              <w:spacing w:after="0"/>
              <w:rPr>
                <w:rFonts w:ascii="Arial" w:cs="Arial" w:eastAsia="Arial" w:hAnsi="Arial"/>
                <w:sz w:val="18"/>
                <w:szCs w:val="18"/>
                <w:color w:val="0000EE"/>
                <w:w w:val="84"/>
              </w:rPr>
            </w:pPr>
            <w:hyperlink r:id="rId216">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12</w:t>
              </w:r>
            </w:hyperlink>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Arial" w:cs="Arial" w:eastAsia="Arial" w:hAnsi="Arial"/>
                <w:sz w:val="18"/>
                <w:szCs w:val="18"/>
                <w:color w:val="0000EE"/>
                <w:w w:val="93"/>
              </w:rPr>
            </w:pPr>
            <w:hyperlink r:id="rId216">
              <w:r>
                <w:rPr>
                  <w:rFonts w:ascii="Arial" w:cs="Arial" w:eastAsia="Arial" w:hAnsi="Arial"/>
                  <w:sz w:val="18"/>
                  <w:szCs w:val="18"/>
                  <w:color w:val="0000EE"/>
                  <w:w w:val="93"/>
                </w:rPr>
                <w:t>Horizon Secured Loan Fund I LLC Limited Liability Company Agreement dated June 1, 2018 by and between the Company and Arena</w:t>
              </w:r>
            </w:hyperlink>
          </w:p>
        </w:tc>
      </w:tr>
      <w:tr>
        <w:trPr>
          <w:trHeight w:val="192"/>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40" w:type="dxa"/>
            <w:vAlign w:val="bottom"/>
            <w:tcBorders>
              <w:bottom w:val="single" w:sz="8" w:color="0000EE"/>
            </w:tcBorders>
            <w:gridSpan w:val="14"/>
          </w:tcPr>
          <w:p>
            <w:pPr>
              <w:spacing w:after="0" w:line="192" w:lineRule="exact"/>
              <w:rPr>
                <w:rFonts w:ascii="Arial" w:cs="Arial" w:eastAsia="Arial" w:hAnsi="Arial"/>
                <w:sz w:val="18"/>
                <w:szCs w:val="18"/>
                <w:color w:val="0000EE"/>
                <w:w w:val="90"/>
              </w:rPr>
            </w:pPr>
            <w:hyperlink r:id="rId216">
              <w:r>
                <w:rPr>
                  <w:rFonts w:ascii="Arial" w:cs="Arial" w:eastAsia="Arial" w:hAnsi="Arial"/>
                  <w:sz w:val="18"/>
                  <w:szCs w:val="18"/>
                  <w:color w:val="0000EE"/>
                  <w:w w:val="90"/>
                </w:rPr>
                <w:t>Sunset SPV, LLC (Incorporated by reference to Exhibit (k)(9) of the Company’s Registration Statement on Form N-2, File No. 333-225698,</w:t>
              </w:r>
            </w:hyperlink>
          </w:p>
        </w:tc>
      </w:tr>
      <w:tr>
        <w:trPr>
          <w:trHeight w:val="192"/>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Borders>
              <w:bottom w:val="single" w:sz="8" w:color="0000EE"/>
            </w:tcBorders>
            <w:gridSpan w:val="5"/>
          </w:tcPr>
          <w:p>
            <w:pPr>
              <w:spacing w:after="0" w:line="192" w:lineRule="exact"/>
              <w:rPr>
                <w:rFonts w:ascii="Arial" w:cs="Arial" w:eastAsia="Arial" w:hAnsi="Arial"/>
                <w:sz w:val="18"/>
                <w:szCs w:val="18"/>
                <w:color w:val="0000EE"/>
                <w:w w:val="88"/>
              </w:rPr>
            </w:pPr>
            <w:hyperlink r:id="rId216">
              <w:r>
                <w:rPr>
                  <w:rFonts w:ascii="Arial" w:cs="Arial" w:eastAsia="Arial" w:hAnsi="Arial"/>
                  <w:sz w:val="18"/>
                  <w:szCs w:val="18"/>
                  <w:color w:val="0000EE"/>
                  <w:w w:val="88"/>
                </w:rPr>
                <w:t>filed on June 18, 2018)</w:t>
              </w:r>
            </w:hyperlink>
          </w:p>
        </w:tc>
        <w:tc>
          <w:tcPr>
            <w:tcW w:w="8400" w:type="dxa"/>
            <w:vAlign w:val="bottom"/>
            <w:gridSpan w:val="9"/>
          </w:tcPr>
          <w:p>
            <w:pPr>
              <w:spacing w:after="0"/>
              <w:rPr>
                <w:sz w:val="16"/>
                <w:szCs w:val="16"/>
                <w:color w:val="auto"/>
              </w:rPr>
            </w:pPr>
          </w:p>
        </w:tc>
      </w:tr>
      <w:tr>
        <w:trPr>
          <w:trHeight w:val="404"/>
        </w:trPr>
        <w:tc>
          <w:tcPr>
            <w:tcW w:w="1380" w:type="dxa"/>
            <w:vAlign w:val="bottom"/>
            <w:gridSpan w:val="6"/>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10040" w:type="dxa"/>
            <w:vAlign w:val="bottom"/>
            <w:gridSpan w:val="14"/>
          </w:tcPr>
          <w:p>
            <w:pPr>
              <w:spacing w:after="0"/>
              <w:rPr>
                <w:rFonts w:ascii="Arial" w:cs="Arial" w:eastAsia="Arial" w:hAnsi="Arial"/>
                <w:sz w:val="18"/>
                <w:szCs w:val="18"/>
                <w:color w:val="0000EE"/>
                <w:w w:val="89"/>
              </w:rPr>
            </w:pPr>
            <w:hyperlink w:anchor="page132">
              <w:r>
                <w:rPr>
                  <w:rFonts w:ascii="Arial" w:cs="Arial" w:eastAsia="Arial" w:hAnsi="Arial"/>
                  <w:sz w:val="18"/>
                  <w:szCs w:val="18"/>
                  <w:color w:val="0000EE"/>
                  <w:w w:val="89"/>
                </w:rPr>
                <w:t>Amendment No. 3 to Amended and Restated Loan Agreement, dated as of December 28, 2018, by and among Horizon Credit II LLC, as the</w:t>
              </w:r>
            </w:hyperlink>
          </w:p>
        </w:tc>
      </w:tr>
      <w:tr>
        <w:trPr>
          <w:trHeight w:val="192"/>
        </w:trPr>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80" w:type="dxa"/>
            <w:vAlign w:val="bottom"/>
          </w:tcPr>
          <w:p>
            <w:pPr>
              <w:spacing w:after="0"/>
              <w:rPr>
                <w:sz w:val="16"/>
                <w:szCs w:val="16"/>
                <w:color w:val="auto"/>
              </w:rPr>
            </w:pPr>
          </w:p>
        </w:tc>
        <w:tc>
          <w:tcPr>
            <w:tcW w:w="10040" w:type="dxa"/>
            <w:vAlign w:val="bottom"/>
            <w:tcBorders>
              <w:top w:val="single" w:sz="8" w:color="0000EE"/>
              <w:bottom w:val="single" w:sz="8" w:color="0000EE"/>
            </w:tcBorders>
            <w:gridSpan w:val="14"/>
          </w:tcPr>
          <w:p>
            <w:pPr>
              <w:spacing w:after="0" w:line="192" w:lineRule="exact"/>
              <w:rPr>
                <w:rFonts w:ascii="Arial" w:cs="Arial" w:eastAsia="Arial" w:hAnsi="Arial"/>
                <w:sz w:val="18"/>
                <w:szCs w:val="18"/>
                <w:color w:val="0000EE"/>
                <w:w w:val="92"/>
              </w:rPr>
            </w:pPr>
            <w:hyperlink w:anchor="page132">
              <w:r>
                <w:rPr>
                  <w:rFonts w:ascii="Arial" w:cs="Arial" w:eastAsia="Arial" w:hAnsi="Arial"/>
                  <w:sz w:val="18"/>
                  <w:szCs w:val="18"/>
                  <w:color w:val="0000EE"/>
                  <w:w w:val="92"/>
                </w:rPr>
                <w:t>borrower, State Bank and Trust Company (successor by merger to AloStar Bank of Commerce), as lender, MUFG Union Bank, N.A., as</w:t>
              </w:r>
            </w:hyperlink>
          </w:p>
        </w:tc>
      </w:tr>
      <w:tr>
        <w:trPr>
          <w:trHeight w:val="192"/>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40" w:type="dxa"/>
            <w:vAlign w:val="bottom"/>
            <w:tcBorders>
              <w:bottom w:val="single" w:sz="8" w:color="0000EE"/>
            </w:tcBorders>
            <w:gridSpan w:val="12"/>
          </w:tcPr>
          <w:p>
            <w:pPr>
              <w:spacing w:after="0" w:line="192" w:lineRule="exact"/>
              <w:rPr>
                <w:rFonts w:ascii="Arial" w:cs="Arial" w:eastAsia="Arial" w:hAnsi="Arial"/>
                <w:sz w:val="18"/>
                <w:szCs w:val="18"/>
                <w:color w:val="0000EE"/>
                <w:w w:val="88"/>
              </w:rPr>
            </w:pPr>
            <w:hyperlink w:anchor="page132">
              <w:r>
                <w:rPr>
                  <w:rFonts w:ascii="Arial" w:cs="Arial" w:eastAsia="Arial" w:hAnsi="Arial"/>
                  <w:sz w:val="18"/>
                  <w:szCs w:val="18"/>
                  <w:color w:val="0000EE"/>
                  <w:w w:val="88"/>
                </w:rPr>
                <w:t>lender, and KeyBank National Association (successor by merger to Key Equipment Finance Inc.) as lender, arranger, and agent.</w:t>
              </w:r>
            </w:hyperlink>
          </w:p>
        </w:tc>
        <w:tc>
          <w:tcPr>
            <w:tcW w:w="1000" w:type="dxa"/>
            <w:vAlign w:val="bottom"/>
            <w:gridSpan w:val="2"/>
          </w:tcPr>
          <w:p>
            <w:pPr>
              <w:spacing w:after="0"/>
              <w:rPr>
                <w:sz w:val="16"/>
                <w:szCs w:val="16"/>
                <w:color w:val="auto"/>
              </w:rPr>
            </w:pPr>
          </w:p>
        </w:tc>
      </w:tr>
      <w:tr>
        <w:trPr>
          <w:trHeight w:val="404"/>
        </w:trPr>
        <w:tc>
          <w:tcPr>
            <w:tcW w:w="400" w:type="dxa"/>
            <w:vAlign w:val="bottom"/>
            <w:gridSpan w:val="4"/>
          </w:tcPr>
          <w:p>
            <w:pPr>
              <w:spacing w:after="0"/>
              <w:rPr>
                <w:rFonts w:ascii="Arial" w:cs="Arial" w:eastAsia="Arial" w:hAnsi="Arial"/>
                <w:sz w:val="18"/>
                <w:szCs w:val="18"/>
                <w:color w:val="0000EE"/>
              </w:rPr>
            </w:pPr>
            <w:hyperlink r:id="rId217">
              <w:r>
                <w:rPr>
                  <w:rFonts w:ascii="Arial" w:cs="Arial" w:eastAsia="Arial" w:hAnsi="Arial"/>
                  <w:sz w:val="18"/>
                  <w:szCs w:val="18"/>
                  <w:color w:val="0000EE"/>
                </w:rPr>
                <w:t>14.</w:t>
              </w:r>
              <w:r>
                <w:rPr>
                  <w:rFonts w:ascii="Arial" w:cs="Arial" w:eastAsia="Arial" w:hAnsi="Arial"/>
                  <w:sz w:val="18"/>
                  <w:szCs w:val="18"/>
                  <w:u w:val="single" w:color="auto"/>
                  <w:color w:val="0000EE"/>
                </w:rPr>
                <w:t>1</w:t>
              </w:r>
            </w:hyperlink>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0"/>
              </w:rPr>
            </w:pPr>
            <w:hyperlink r:id="rId217">
              <w:r>
                <w:rPr>
                  <w:rFonts w:ascii="Arial" w:cs="Arial" w:eastAsia="Arial" w:hAnsi="Arial"/>
                  <w:sz w:val="18"/>
                  <w:szCs w:val="18"/>
                  <w:color w:val="0000EE"/>
                  <w:w w:val="90"/>
                </w:rPr>
                <w:t>Code of Ethics of the Company (Incorporated by reference to Exhibit 14.1 of the Company’s Annual Report on Form 10-K, filed on March 7,</w:t>
              </w:r>
            </w:hyperlink>
          </w:p>
        </w:tc>
      </w:tr>
      <w:tr>
        <w:trPr>
          <w:trHeight w:val="192"/>
        </w:trPr>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6"/>
              </w:rPr>
            </w:pPr>
            <w:hyperlink r:id="rId217">
              <w:r>
                <w:rPr>
                  <w:rFonts w:ascii="Arial" w:cs="Arial" w:eastAsia="Arial" w:hAnsi="Arial"/>
                  <w:sz w:val="18"/>
                  <w:szCs w:val="18"/>
                  <w:color w:val="0000EE"/>
                  <w:w w:val="86"/>
                </w:rPr>
                <w:t>2017)</w:t>
              </w:r>
            </w:hyperlink>
          </w:p>
        </w:tc>
        <w:tc>
          <w:tcPr>
            <w:tcW w:w="2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33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r>
      <w:tr>
        <w:trPr>
          <w:trHeight w:val="404"/>
        </w:trPr>
        <w:tc>
          <w:tcPr>
            <w:tcW w:w="28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139">
              <w:r>
                <w:rPr>
                  <w:rFonts w:ascii="Arial" w:cs="Arial" w:eastAsia="Arial" w:hAnsi="Arial"/>
                  <w:sz w:val="18"/>
                  <w:szCs w:val="18"/>
                  <w:color w:val="0000EE"/>
                  <w:w w:val="96"/>
                </w:rPr>
                <w:t>21*</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39">
              <w:r>
                <w:rPr>
                  <w:rFonts w:ascii="Arial" w:cs="Arial" w:eastAsia="Arial" w:hAnsi="Arial"/>
                  <w:sz w:val="18"/>
                  <w:szCs w:val="18"/>
                  <w:color w:val="0000EE"/>
                  <w:w w:val="89"/>
                </w:rPr>
                <w:t>List of Subsidiaries</w:t>
              </w:r>
            </w:hyperlink>
          </w:p>
        </w:tc>
        <w:tc>
          <w:tcPr>
            <w:tcW w:w="8660" w:type="dxa"/>
            <w:vAlign w:val="bottom"/>
            <w:gridSpan w:val="10"/>
          </w:tcPr>
          <w:p>
            <w:pPr>
              <w:spacing w:after="0"/>
              <w:rPr>
                <w:sz w:val="24"/>
                <w:szCs w:val="24"/>
                <w:color w:val="auto"/>
              </w:rPr>
            </w:pPr>
          </w:p>
        </w:tc>
      </w:tr>
      <w:tr>
        <w:trPr>
          <w:trHeight w:val="404"/>
        </w:trPr>
        <w:tc>
          <w:tcPr>
            <w:tcW w:w="180" w:type="dxa"/>
            <w:vAlign w:val="bottom"/>
          </w:tcPr>
          <w:p>
            <w:pPr>
              <w:spacing w:after="0"/>
              <w:rPr>
                <w:rFonts w:ascii="Arial" w:cs="Arial" w:eastAsia="Arial" w:hAnsi="Arial"/>
                <w:sz w:val="18"/>
                <w:szCs w:val="18"/>
                <w:color w:val="0000EE"/>
                <w:w w:val="79"/>
              </w:rPr>
            </w:pPr>
            <w:hyperlink w:anchor="page131">
              <w:r>
                <w:rPr>
                  <w:rFonts w:ascii="Arial" w:cs="Arial" w:eastAsia="Arial" w:hAnsi="Arial"/>
                  <w:sz w:val="18"/>
                  <w:szCs w:val="18"/>
                  <w:color w:val="0000EE"/>
                  <w:w w:val="79"/>
                </w:rPr>
                <w:t>24</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Power of Attorney (included on signature page hereto)</w:t>
              </w:r>
            </w:hyperlink>
          </w:p>
        </w:tc>
      </w:tr>
      <w:tr>
        <w:trPr>
          <w:trHeight w:val="20"/>
        </w:trPr>
        <w:tc>
          <w:tcPr>
            <w:tcW w:w="18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4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40">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1*</w:t>
              </w:r>
            </w:hyperlink>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40">
              <w:r>
                <w:rPr>
                  <w:rFonts w:ascii="Arial" w:cs="Arial" w:eastAsia="Arial" w:hAnsi="Arial"/>
                  <w:sz w:val="18"/>
                  <w:szCs w:val="18"/>
                  <w:color w:val="0000EE"/>
                  <w:w w:val="89"/>
                </w:rPr>
                <w:t>Certificate of the Principal Executive Officer Pursuant to Exchange Act Rule 13a-14(a) and 15d-14(a)</w:t>
              </w:r>
            </w:hyperlink>
          </w:p>
        </w:tc>
        <w:tc>
          <w:tcPr>
            <w:tcW w:w="2820" w:type="dxa"/>
            <w:vAlign w:val="bottom"/>
            <w:gridSpan w:val="6"/>
          </w:tcPr>
          <w:p>
            <w:pPr>
              <w:spacing w:after="0"/>
              <w:rPr>
                <w:sz w:val="24"/>
                <w:szCs w:val="24"/>
                <w:color w:val="auto"/>
              </w:rPr>
            </w:pPr>
          </w:p>
        </w:tc>
      </w:tr>
      <w:tr>
        <w:trPr>
          <w:trHeight w:val="404"/>
        </w:trPr>
        <w:tc>
          <w:tcPr>
            <w:tcW w:w="4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41">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2*</w:t>
              </w:r>
            </w:hyperlink>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41">
              <w:r>
                <w:rPr>
                  <w:rFonts w:ascii="Arial" w:cs="Arial" w:eastAsia="Arial" w:hAnsi="Arial"/>
                  <w:sz w:val="18"/>
                  <w:szCs w:val="18"/>
                  <w:color w:val="0000EE"/>
                  <w:w w:val="89"/>
                </w:rPr>
                <w:t>Certificate of the Principal Financial and Accounting Officer Pursuant to Exchange Act Rule 13a-14(a) and 15d-14(a)</w:t>
              </w:r>
            </w:hyperlink>
          </w:p>
        </w:tc>
        <w:tc>
          <w:tcPr>
            <w:tcW w:w="1700" w:type="dxa"/>
            <w:vAlign w:val="bottom"/>
            <w:gridSpan w:val="4"/>
          </w:tcPr>
          <w:p>
            <w:pPr>
              <w:spacing w:after="0"/>
              <w:rPr>
                <w:sz w:val="24"/>
                <w:szCs w:val="24"/>
                <w:color w:val="auto"/>
              </w:rPr>
            </w:pPr>
          </w:p>
        </w:tc>
      </w:tr>
      <w:tr>
        <w:trPr>
          <w:trHeight w:val="404"/>
        </w:trPr>
        <w:tc>
          <w:tcPr>
            <w:tcW w:w="400" w:type="dxa"/>
            <w:vAlign w:val="bottom"/>
            <w:gridSpan w:val="4"/>
          </w:tcPr>
          <w:p>
            <w:pPr>
              <w:spacing w:after="0"/>
              <w:rPr>
                <w:rFonts w:ascii="Arial" w:cs="Arial" w:eastAsia="Arial" w:hAnsi="Arial"/>
                <w:sz w:val="18"/>
                <w:szCs w:val="18"/>
                <w:color w:val="0000EE"/>
                <w:w w:val="90"/>
              </w:rPr>
            </w:pPr>
            <w:hyperlink w:anchor="page142">
              <w:r>
                <w:rPr>
                  <w:rFonts w:ascii="Arial" w:cs="Arial" w:eastAsia="Arial" w:hAnsi="Arial"/>
                  <w:sz w:val="18"/>
                  <w:szCs w:val="18"/>
                  <w:color w:val="0000EE"/>
                  <w:w w:val="90"/>
                </w:rPr>
                <w:t>32.</w:t>
              </w:r>
              <w:r>
                <w:rPr>
                  <w:rFonts w:ascii="Arial" w:cs="Arial" w:eastAsia="Arial" w:hAnsi="Arial"/>
                  <w:sz w:val="18"/>
                  <w:szCs w:val="18"/>
                  <w:u w:val="single" w:color="auto"/>
                  <w:color w:val="0000EE"/>
                  <w:w w:val="90"/>
                </w:rPr>
                <w:t>1*</w:t>
              </w:r>
            </w:hyperlink>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1"/>
              </w:rPr>
            </w:pPr>
            <w:hyperlink w:anchor="page142">
              <w:r>
                <w:rPr>
                  <w:rFonts w:ascii="Arial" w:cs="Arial" w:eastAsia="Arial" w:hAnsi="Arial"/>
                  <w:sz w:val="18"/>
                  <w:szCs w:val="18"/>
                  <w:color w:val="0000EE"/>
                  <w:w w:val="91"/>
                </w:rPr>
                <w:t>Certification of the Chief Executive Officer pursuant to 18 U.S.C. Section 1350, as adopted pursuant to Section 906 of the Sarbanes-Oxley</w:t>
              </w:r>
            </w:hyperlink>
          </w:p>
        </w:tc>
      </w:tr>
      <w:tr>
        <w:trPr>
          <w:trHeight w:val="192"/>
        </w:trPr>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20" w:type="dxa"/>
            <w:vAlign w:val="bottom"/>
            <w:tcBorders>
              <w:top w:val="single" w:sz="8" w:color="0000EE"/>
            </w:tcBorders>
            <w:gridSpan w:val="13"/>
          </w:tcPr>
          <w:p>
            <w:pPr>
              <w:spacing w:after="0" w:line="192" w:lineRule="exact"/>
              <w:rPr>
                <w:rFonts w:ascii="Arial" w:cs="Arial" w:eastAsia="Arial" w:hAnsi="Arial"/>
                <w:sz w:val="18"/>
                <w:szCs w:val="18"/>
                <w:color w:val="0000EE"/>
              </w:rPr>
            </w:pPr>
            <w:hyperlink w:anchor="page142">
              <w:r>
                <w:rPr>
                  <w:rFonts w:ascii="Arial" w:cs="Arial" w:eastAsia="Arial" w:hAnsi="Arial"/>
                  <w:sz w:val="18"/>
                  <w:szCs w:val="18"/>
                  <w:color w:val="0000EE"/>
                </w:rPr>
                <w:t>Act of 2002</w:t>
              </w:r>
            </w:hyperlink>
          </w:p>
        </w:tc>
        <w:tc>
          <w:tcPr>
            <w:tcW w:w="20" w:type="dxa"/>
            <w:vAlign w:val="bottom"/>
          </w:tcPr>
          <w:p>
            <w:pPr>
              <w:spacing w:after="0"/>
              <w:rPr>
                <w:sz w:val="16"/>
                <w:szCs w:val="16"/>
                <w:color w:val="auto"/>
              </w:rPr>
            </w:pPr>
          </w:p>
        </w:tc>
      </w:tr>
      <w:tr>
        <w:trPr>
          <w:trHeight w:val="20"/>
        </w:trPr>
        <w:tc>
          <w:tcPr>
            <w:tcW w:w="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0" w:type="dxa"/>
            <w:vAlign w:val="bottom"/>
            <w:gridSpan w:val="11"/>
          </w:tcPr>
          <w:p>
            <w:pPr>
              <w:spacing w:after="0" w:line="20" w:lineRule="exact"/>
              <w:rPr>
                <w:sz w:val="1"/>
                <w:szCs w:val="1"/>
                <w:color w:val="auto"/>
              </w:rPr>
            </w:pPr>
          </w:p>
        </w:tc>
      </w:tr>
      <w:tr>
        <w:trPr>
          <w:trHeight w:val="404"/>
        </w:trPr>
        <w:tc>
          <w:tcPr>
            <w:tcW w:w="4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43">
              <w:r>
                <w:rPr>
                  <w:rFonts w:ascii="Arial" w:cs="Arial" w:eastAsia="Arial" w:hAnsi="Arial"/>
                  <w:sz w:val="18"/>
                  <w:szCs w:val="18"/>
                  <w:color w:val="0000EE"/>
                  <w:w w:val="90"/>
                </w:rPr>
                <w:t>32.</w:t>
              </w:r>
              <w:r>
                <w:rPr>
                  <w:rFonts w:ascii="Arial" w:cs="Arial" w:eastAsia="Arial" w:hAnsi="Arial"/>
                  <w:sz w:val="18"/>
                  <w:szCs w:val="18"/>
                  <w:u w:val="single" w:color="auto"/>
                  <w:color w:val="0000EE"/>
                  <w:w w:val="90"/>
                </w:rPr>
                <w:t>2*</w:t>
              </w:r>
            </w:hyperlink>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143">
              <w:r>
                <w:rPr>
                  <w:rFonts w:ascii="Arial" w:cs="Arial" w:eastAsia="Arial" w:hAnsi="Arial"/>
                  <w:sz w:val="18"/>
                  <w:szCs w:val="18"/>
                  <w:color w:val="0000EE"/>
                  <w:w w:val="91"/>
                </w:rPr>
                <w:t>Certification of the Chief Financial Officer pursuant to 18 U.S.C. Section 1350, as adopted pursuant to Section 906 of the Sarbanes-Oxley</w:t>
              </w:r>
            </w:hyperlink>
          </w:p>
        </w:tc>
      </w:tr>
      <w:tr>
        <w:trPr>
          <w:trHeight w:val="192"/>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40" w:type="dxa"/>
            <w:vAlign w:val="bottom"/>
            <w:gridSpan w:val="14"/>
          </w:tcPr>
          <w:p>
            <w:pPr>
              <w:spacing w:after="0" w:line="192" w:lineRule="exact"/>
              <w:rPr>
                <w:rFonts w:ascii="Arial" w:cs="Arial" w:eastAsia="Arial" w:hAnsi="Arial"/>
                <w:sz w:val="18"/>
                <w:szCs w:val="18"/>
                <w:color w:val="0000EE"/>
              </w:rPr>
            </w:pPr>
            <w:hyperlink w:anchor="page143">
              <w:r>
                <w:rPr>
                  <w:rFonts w:ascii="Arial" w:cs="Arial" w:eastAsia="Arial" w:hAnsi="Arial"/>
                  <w:sz w:val="18"/>
                  <w:szCs w:val="18"/>
                  <w:color w:val="0000EE"/>
                </w:rPr>
                <w:t>Act of 2002</w:t>
              </w:r>
            </w:hyperlink>
          </w:p>
        </w:tc>
      </w:tr>
      <w:tr>
        <w:trPr>
          <w:trHeight w:val="20"/>
        </w:trPr>
        <w:tc>
          <w:tcPr>
            <w:tcW w:w="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0" w:type="dxa"/>
            <w:vAlign w:val="bottom"/>
            <w:gridSpan w:val="11"/>
          </w:tcPr>
          <w:p>
            <w:pPr>
              <w:spacing w:after="0" w:line="20" w:lineRule="exact"/>
              <w:rPr>
                <w:sz w:val="1"/>
                <w:szCs w:val="1"/>
                <w:color w:val="auto"/>
              </w:rPr>
            </w:pPr>
          </w:p>
        </w:tc>
      </w:tr>
      <w:tr>
        <w:trPr>
          <w:trHeight w:val="404"/>
        </w:trPr>
        <w:tc>
          <w:tcPr>
            <w:tcW w:w="400" w:type="dxa"/>
            <w:vAlign w:val="bottom"/>
            <w:gridSpan w:val="4"/>
          </w:tcPr>
          <w:p>
            <w:pPr>
              <w:spacing w:after="0"/>
              <w:rPr>
                <w:rFonts w:ascii="Arial" w:cs="Arial" w:eastAsia="Arial" w:hAnsi="Arial"/>
                <w:sz w:val="18"/>
                <w:szCs w:val="18"/>
                <w:color w:val="0000EE"/>
              </w:rPr>
            </w:pPr>
            <w:hyperlink r:id="rId218">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2"/>
              </w:rPr>
            </w:pPr>
            <w:hyperlink r:id="rId218">
              <w:r>
                <w:rPr>
                  <w:rFonts w:ascii="Arial" w:cs="Arial" w:eastAsia="Arial" w:hAnsi="Arial"/>
                  <w:sz w:val="18"/>
                  <w:szCs w:val="18"/>
                  <w:color w:val="0000EE"/>
                  <w:w w:val="92"/>
                </w:rPr>
                <w:t>Privacy Policy of the Company (Incorporated by reference to Exhibit 99.1 of the Company’s Annual Report on Form 10-K, filed on March</w:t>
              </w:r>
            </w:hyperlink>
          </w:p>
        </w:tc>
      </w:tr>
      <w:tr>
        <w:trPr>
          <w:trHeight w:val="192"/>
        </w:trPr>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86"/>
              </w:rPr>
            </w:pPr>
            <w:hyperlink r:id="rId218">
              <w:r>
                <w:rPr>
                  <w:rFonts w:ascii="Arial" w:cs="Arial" w:eastAsia="Arial" w:hAnsi="Arial"/>
                  <w:sz w:val="18"/>
                  <w:szCs w:val="18"/>
                  <w:color w:val="0000EE"/>
                  <w:w w:val="86"/>
                </w:rPr>
                <w:t>16, 2011)</w:t>
              </w:r>
            </w:hyperlink>
          </w:p>
        </w:tc>
        <w:tc>
          <w:tcPr>
            <w:tcW w:w="1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33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18103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spacing w:after="0" w:line="233" w:lineRule="exact"/>
        <w:rPr>
          <w:sz w:val="20"/>
          <w:szCs w:val="20"/>
          <w:color w:val="auto"/>
        </w:rPr>
      </w:pPr>
    </w:p>
    <w:p>
      <w:pPr>
        <w:ind w:left="360" w:hanging="354"/>
        <w:spacing w:after="0"/>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80" w:type="dxa"/>
            <w:vAlign w:val="bottom"/>
          </w:tcPr>
          <w:p>
            <w:pPr>
              <w:spacing w:after="0"/>
              <w:rPr>
                <w:sz w:val="19"/>
                <w:szCs w:val="19"/>
                <w:color w:val="auto"/>
              </w:rPr>
            </w:pPr>
          </w:p>
        </w:tc>
        <w:tc>
          <w:tcPr>
            <w:tcW w:w="7940" w:type="dxa"/>
            <w:vAlign w:val="bottom"/>
            <w:gridSpan w:val="2"/>
          </w:tcPr>
          <w:p>
            <w:pPr>
              <w:ind w:left="2020"/>
              <w:spacing w:after="0"/>
              <w:rPr>
                <w:sz w:val="20"/>
                <w:szCs w:val="20"/>
                <w:color w:val="auto"/>
              </w:rPr>
            </w:pPr>
            <w:r>
              <w:rPr>
                <w:rFonts w:ascii="Arial" w:cs="Arial" w:eastAsia="Arial" w:hAnsi="Arial"/>
                <w:sz w:val="18"/>
                <w:szCs w:val="18"/>
                <w:color w:val="auto"/>
              </w:rPr>
              <w:t>H</w:t>
            </w:r>
            <w:r>
              <w:rPr>
                <w:rFonts w:ascii="Arial" w:cs="Arial" w:eastAsia="Arial" w:hAnsi="Arial"/>
                <w:sz w:val="11"/>
                <w:szCs w:val="11"/>
                <w:color w:val="auto"/>
              </w:rPr>
              <w:t>ORIZON</w:t>
            </w:r>
            <w:r>
              <w:rPr>
                <w:rFonts w:ascii="Arial" w:cs="Arial" w:eastAsia="Arial" w:hAnsi="Arial"/>
                <w:sz w:val="18"/>
                <w:szCs w:val="18"/>
                <w:color w:val="auto"/>
              </w:rPr>
              <w:t xml:space="preserve"> T</w:t>
            </w:r>
            <w:r>
              <w:rPr>
                <w:rFonts w:ascii="Arial" w:cs="Arial" w:eastAsia="Arial" w:hAnsi="Arial"/>
                <w:sz w:val="11"/>
                <w:szCs w:val="11"/>
                <w:color w:val="auto"/>
              </w:rPr>
              <w:t>ECHNOLOGY</w:t>
            </w:r>
            <w:r>
              <w:rPr>
                <w:rFonts w:ascii="Arial" w:cs="Arial" w:eastAsia="Arial" w:hAnsi="Arial"/>
                <w:sz w:val="18"/>
                <w:szCs w:val="18"/>
                <w:color w:val="auto"/>
              </w:rPr>
              <w:t xml:space="preserve"> F</w:t>
            </w:r>
            <w:r>
              <w:rPr>
                <w:rFonts w:ascii="Arial" w:cs="Arial" w:eastAsia="Arial" w:hAnsi="Arial"/>
                <w:sz w:val="11"/>
                <w:szCs w:val="11"/>
                <w:color w:val="auto"/>
              </w:rPr>
              <w:t>INANCE</w:t>
            </w:r>
            <w:r>
              <w:rPr>
                <w:rFonts w:ascii="Arial" w:cs="Arial" w:eastAsia="Arial" w:hAnsi="Arial"/>
                <w:sz w:val="18"/>
                <w:szCs w:val="18"/>
                <w:color w:val="auto"/>
              </w:rPr>
              <w:t xml:space="preserve"> C</w:t>
            </w:r>
            <w:r>
              <w:rPr>
                <w:rFonts w:ascii="Arial" w:cs="Arial" w:eastAsia="Arial" w:hAnsi="Arial"/>
                <w:sz w:val="11"/>
                <w:szCs w:val="11"/>
                <w:color w:val="auto"/>
              </w:rPr>
              <w:t>ORPORATION</w:t>
            </w:r>
          </w:p>
        </w:tc>
      </w:tr>
      <w:tr>
        <w:trPr>
          <w:trHeight w:val="424"/>
        </w:trPr>
        <w:tc>
          <w:tcPr>
            <w:tcW w:w="3480" w:type="dxa"/>
            <w:vAlign w:val="bottom"/>
          </w:tcPr>
          <w:p>
            <w:pPr>
              <w:spacing w:after="0"/>
              <w:rPr>
                <w:sz w:val="20"/>
                <w:szCs w:val="20"/>
                <w:color w:val="auto"/>
              </w:rPr>
            </w:pPr>
            <w:r>
              <w:rPr>
                <w:rFonts w:ascii="Arial" w:cs="Arial" w:eastAsia="Arial" w:hAnsi="Arial"/>
                <w:sz w:val="18"/>
                <w:szCs w:val="18"/>
                <w:color w:val="auto"/>
              </w:rPr>
              <w:t>Date: March 5, 2019</w:t>
            </w:r>
          </w:p>
        </w:tc>
        <w:tc>
          <w:tcPr>
            <w:tcW w:w="2820" w:type="dxa"/>
            <w:vAlign w:val="bottom"/>
          </w:tcPr>
          <w:p>
            <w:pPr>
              <w:ind w:left="20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Pomeroy, Jr.</w:t>
            </w:r>
          </w:p>
        </w:tc>
      </w:tr>
      <w:tr>
        <w:trPr>
          <w:trHeight w:val="194"/>
        </w:trPr>
        <w:tc>
          <w:tcPr>
            <w:tcW w:w="3480" w:type="dxa"/>
            <w:vAlign w:val="bottom"/>
          </w:tcPr>
          <w:p>
            <w:pPr>
              <w:spacing w:after="0"/>
              <w:rPr>
                <w:sz w:val="16"/>
                <w:szCs w:val="16"/>
                <w:color w:val="auto"/>
              </w:rPr>
            </w:pPr>
          </w:p>
        </w:tc>
        <w:tc>
          <w:tcPr>
            <w:tcW w:w="282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Robert D. Pomeroy, Jr.</w:t>
            </w:r>
          </w:p>
        </w:tc>
      </w:tr>
      <w:tr>
        <w:trPr>
          <w:trHeight w:val="223"/>
        </w:trPr>
        <w:tc>
          <w:tcPr>
            <w:tcW w:w="3480" w:type="dxa"/>
            <w:vAlign w:val="bottom"/>
          </w:tcPr>
          <w:p>
            <w:pPr>
              <w:spacing w:after="0"/>
              <w:rPr>
                <w:sz w:val="19"/>
                <w:szCs w:val="19"/>
                <w:color w:val="auto"/>
              </w:rPr>
            </w:pPr>
          </w:p>
        </w:tc>
        <w:tc>
          <w:tcPr>
            <w:tcW w:w="2820" w:type="dxa"/>
            <w:vAlign w:val="bottom"/>
          </w:tcPr>
          <w:p>
            <w:pPr>
              <w:ind w:left="2020"/>
              <w:spacing w:after="0"/>
              <w:rPr>
                <w:sz w:val="20"/>
                <w:szCs w:val="20"/>
                <w:color w:val="auto"/>
              </w:rPr>
            </w:pPr>
            <w:r>
              <w:rPr>
                <w:rFonts w:ascii="Arial" w:cs="Arial" w:eastAsia="Arial" w:hAnsi="Arial"/>
                <w:sz w:val="18"/>
                <w:szCs w:val="18"/>
                <w:color w:val="auto"/>
              </w:rPr>
              <w:t>Title:</w:t>
            </w:r>
          </w:p>
        </w:tc>
        <w:tc>
          <w:tcPr>
            <w:tcW w:w="5120" w:type="dxa"/>
            <w:vAlign w:val="bottom"/>
          </w:tcPr>
          <w:p>
            <w:pPr>
              <w:spacing w:after="0"/>
              <w:rPr>
                <w:sz w:val="20"/>
                <w:szCs w:val="20"/>
                <w:color w:val="auto"/>
              </w:rPr>
            </w:pPr>
            <w:r>
              <w:rPr>
                <w:rFonts w:ascii="Arial" w:cs="Arial" w:eastAsia="Arial" w:hAnsi="Arial"/>
                <w:sz w:val="18"/>
                <w:szCs w:val="18"/>
                <w:color w:val="auto"/>
              </w:rPr>
              <w:t>Chief Executive Officer and Chairman of the Board of Directors</w:t>
            </w:r>
          </w:p>
        </w:tc>
      </w:tr>
    </w:tbl>
    <w:p>
      <w:pPr>
        <w:spacing w:after="0" w:line="20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Robert D. Pomeroy, Jr., Daniel R. Trolio and Gerald A. Michaud as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9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20" w:type="dxa"/>
            <w:vAlign w:val="bottom"/>
            <w:tcBorders>
              <w:bottom w:val="single" w:sz="8" w:color="auto"/>
            </w:tcBorders>
          </w:tcPr>
          <w:p>
            <w:pPr>
              <w:ind w:left="1700"/>
              <w:spacing w:after="0"/>
              <w:rPr>
                <w:sz w:val="20"/>
                <w:szCs w:val="20"/>
                <w:color w:val="auto"/>
              </w:rPr>
            </w:pPr>
            <w:r>
              <w:rPr>
                <w:rFonts w:ascii="Arial" w:cs="Arial" w:eastAsia="Arial" w:hAnsi="Arial"/>
                <w:sz w:val="18"/>
                <w:szCs w:val="18"/>
                <w:b w:val="1"/>
                <w:bCs w:val="1"/>
                <w:color w:val="auto"/>
              </w:rPr>
              <w:t>Signature</w:t>
            </w:r>
          </w:p>
        </w:tc>
        <w:tc>
          <w:tcPr>
            <w:tcW w:w="1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24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3"/>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Pomeroy, Jr.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Chairman of the Board of Directors and Chief</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March 5, 2019</w:t>
            </w:r>
          </w:p>
        </w:tc>
      </w:tr>
      <w:tr>
        <w:trPr>
          <w:trHeight w:val="224"/>
        </w:trPr>
        <w:tc>
          <w:tcPr>
            <w:tcW w:w="4020" w:type="dxa"/>
            <w:vAlign w:val="bottom"/>
          </w:tcPr>
          <w:p>
            <w:pPr>
              <w:spacing w:after="0"/>
              <w:rPr>
                <w:sz w:val="20"/>
                <w:szCs w:val="20"/>
                <w:color w:val="auto"/>
              </w:rPr>
            </w:pPr>
            <w:r>
              <w:rPr>
                <w:rFonts w:ascii="Arial" w:cs="Arial" w:eastAsia="Arial" w:hAnsi="Arial"/>
                <w:sz w:val="18"/>
                <w:szCs w:val="18"/>
                <w:b w:val="1"/>
                <w:bCs w:val="1"/>
                <w:color w:val="auto"/>
              </w:rPr>
              <w:t>Robert D. Pomeroy, Jr.</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20" w:type="dxa"/>
            <w:vAlign w:val="bottom"/>
            <w:gridSpan w:val="2"/>
          </w:tcPr>
          <w:p>
            <w:pPr>
              <w:jc w:val="center"/>
              <w:ind w:right="220"/>
              <w:spacing w:after="0" w:line="203" w:lineRule="exact"/>
              <w:rPr>
                <w:sz w:val="20"/>
                <w:szCs w:val="20"/>
                <w:color w:val="auto"/>
              </w:rPr>
            </w:pPr>
            <w:r>
              <w:rPr>
                <w:rFonts w:ascii="Arial" w:cs="Arial" w:eastAsia="Arial" w:hAnsi="Arial"/>
                <w:sz w:val="18"/>
                <w:szCs w:val="18"/>
                <w:color w:val="auto"/>
                <w:w w:val="92"/>
              </w:rPr>
              <w:t>Executive Officer (Principal Executive Officer)</w:t>
            </w:r>
          </w:p>
        </w:tc>
        <w:tc>
          <w:tcPr>
            <w:tcW w:w="2840" w:type="dxa"/>
            <w:vAlign w:val="bottom"/>
          </w:tcPr>
          <w:p>
            <w:pPr>
              <w:spacing w:after="0"/>
              <w:rPr>
                <w:sz w:val="19"/>
                <w:szCs w:val="19"/>
                <w:color w:val="auto"/>
              </w:rPr>
            </w:pPr>
          </w:p>
        </w:tc>
      </w:tr>
      <w:tr>
        <w:trPr>
          <w:trHeight w:val="419"/>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R. Trolio</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Chief Financial Officer and Treasurer (Principal</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March 5, 2019</w:t>
            </w:r>
          </w:p>
        </w:tc>
      </w:tr>
      <w:tr>
        <w:trPr>
          <w:trHeight w:val="224"/>
        </w:trPr>
        <w:tc>
          <w:tcPr>
            <w:tcW w:w="4020" w:type="dxa"/>
            <w:vAlign w:val="bottom"/>
          </w:tcPr>
          <w:p>
            <w:pPr>
              <w:spacing w:after="0"/>
              <w:rPr>
                <w:sz w:val="20"/>
                <w:szCs w:val="20"/>
                <w:color w:val="auto"/>
              </w:rPr>
            </w:pPr>
            <w:r>
              <w:rPr>
                <w:rFonts w:ascii="Arial" w:cs="Arial" w:eastAsia="Arial" w:hAnsi="Arial"/>
                <w:sz w:val="18"/>
                <w:szCs w:val="18"/>
                <w:b w:val="1"/>
                <w:bCs w:val="1"/>
                <w:color w:val="auto"/>
              </w:rPr>
              <w:t>Daniel R. Trolio</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20" w:type="dxa"/>
            <w:vAlign w:val="bottom"/>
            <w:gridSpan w:val="2"/>
          </w:tcPr>
          <w:p>
            <w:pPr>
              <w:jc w:val="center"/>
              <w:ind w:right="240"/>
              <w:spacing w:after="0" w:line="203" w:lineRule="exact"/>
              <w:rPr>
                <w:sz w:val="20"/>
                <w:szCs w:val="20"/>
                <w:color w:val="auto"/>
              </w:rPr>
            </w:pPr>
            <w:r>
              <w:rPr>
                <w:rFonts w:ascii="Arial" w:cs="Arial" w:eastAsia="Arial" w:hAnsi="Arial"/>
                <w:sz w:val="18"/>
                <w:szCs w:val="18"/>
                <w:color w:val="auto"/>
                <w:w w:val="91"/>
              </w:rPr>
              <w:t>Financial and Accounting Officer)</w:t>
            </w:r>
          </w:p>
        </w:tc>
        <w:tc>
          <w:tcPr>
            <w:tcW w:w="2840" w:type="dxa"/>
            <w:vAlign w:val="bottom"/>
          </w:tcPr>
          <w:p>
            <w:pPr>
              <w:spacing w:after="0"/>
              <w:rPr>
                <w:sz w:val="19"/>
                <w:szCs w:val="19"/>
                <w:color w:val="auto"/>
              </w:rPr>
            </w:pPr>
          </w:p>
        </w:tc>
      </w:tr>
      <w:tr>
        <w:trPr>
          <w:trHeight w:val="42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Gerald A. Michaud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President and 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March 5, 2019</w:t>
            </w:r>
          </w:p>
        </w:tc>
      </w:tr>
      <w:tr>
        <w:trPr>
          <w:trHeight w:val="223"/>
        </w:trPr>
        <w:tc>
          <w:tcPr>
            <w:tcW w:w="4020" w:type="dxa"/>
            <w:vAlign w:val="bottom"/>
          </w:tcPr>
          <w:p>
            <w:pPr>
              <w:spacing w:after="0"/>
              <w:rPr>
                <w:sz w:val="20"/>
                <w:szCs w:val="20"/>
                <w:color w:val="auto"/>
              </w:rPr>
            </w:pPr>
            <w:r>
              <w:rPr>
                <w:rFonts w:ascii="Arial" w:cs="Arial" w:eastAsia="Arial" w:hAnsi="Arial"/>
                <w:sz w:val="18"/>
                <w:szCs w:val="18"/>
                <w:b w:val="1"/>
                <w:bCs w:val="1"/>
                <w:color w:val="auto"/>
              </w:rPr>
              <w:t>Gerald A. Michaud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2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Bottiglieri</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March 5, 2019</w:t>
            </w:r>
          </w:p>
        </w:tc>
      </w:tr>
      <w:tr>
        <w:trPr>
          <w:trHeight w:val="223"/>
        </w:trPr>
        <w:tc>
          <w:tcPr>
            <w:tcW w:w="4020" w:type="dxa"/>
            <w:vAlign w:val="bottom"/>
          </w:tcPr>
          <w:p>
            <w:pPr>
              <w:spacing w:after="0"/>
              <w:rPr>
                <w:sz w:val="20"/>
                <w:szCs w:val="20"/>
                <w:color w:val="auto"/>
              </w:rPr>
            </w:pPr>
            <w:r>
              <w:rPr>
                <w:rFonts w:ascii="Arial" w:cs="Arial" w:eastAsia="Arial" w:hAnsi="Arial"/>
                <w:sz w:val="18"/>
                <w:szCs w:val="18"/>
                <w:b w:val="1"/>
                <w:bCs w:val="1"/>
                <w:color w:val="auto"/>
              </w:rPr>
              <w:t>James J. Bottiglieri</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2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Edmund V. Mahoney</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March 5, 2019</w:t>
            </w:r>
          </w:p>
        </w:tc>
      </w:tr>
      <w:tr>
        <w:trPr>
          <w:trHeight w:val="223"/>
        </w:trPr>
        <w:tc>
          <w:tcPr>
            <w:tcW w:w="4020" w:type="dxa"/>
            <w:vAlign w:val="bottom"/>
          </w:tcPr>
          <w:p>
            <w:pPr>
              <w:spacing w:after="0"/>
              <w:rPr>
                <w:sz w:val="20"/>
                <w:szCs w:val="20"/>
                <w:color w:val="auto"/>
              </w:rPr>
            </w:pPr>
            <w:r>
              <w:rPr>
                <w:rFonts w:ascii="Arial" w:cs="Arial" w:eastAsia="Arial" w:hAnsi="Arial"/>
                <w:sz w:val="18"/>
                <w:szCs w:val="18"/>
                <w:b w:val="1"/>
                <w:bCs w:val="1"/>
                <w:color w:val="auto"/>
              </w:rPr>
              <w:t>Edmund V. Mahoney</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2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Elaine A. Sarsynski</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March 5, 2019</w:t>
            </w:r>
          </w:p>
        </w:tc>
      </w:tr>
      <w:tr>
        <w:trPr>
          <w:trHeight w:val="223"/>
        </w:trPr>
        <w:tc>
          <w:tcPr>
            <w:tcW w:w="4020" w:type="dxa"/>
            <w:vAlign w:val="bottom"/>
          </w:tcPr>
          <w:p>
            <w:pPr>
              <w:spacing w:after="0"/>
              <w:rPr>
                <w:sz w:val="20"/>
                <w:szCs w:val="20"/>
                <w:color w:val="auto"/>
              </w:rPr>
            </w:pPr>
            <w:r>
              <w:rPr>
                <w:rFonts w:ascii="Arial" w:cs="Arial" w:eastAsia="Arial" w:hAnsi="Arial"/>
                <w:sz w:val="18"/>
                <w:szCs w:val="18"/>
                <w:b w:val="1"/>
                <w:bCs w:val="1"/>
                <w:color w:val="auto"/>
              </w:rPr>
              <w:t>Elaine A. Sarsynski</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20"/>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Savage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March 5, 2019</w:t>
            </w:r>
          </w:p>
        </w:tc>
      </w:tr>
      <w:tr>
        <w:trPr>
          <w:trHeight w:val="223"/>
        </w:trPr>
        <w:tc>
          <w:tcPr>
            <w:tcW w:w="4020" w:type="dxa"/>
            <w:vAlign w:val="bottom"/>
          </w:tcPr>
          <w:p>
            <w:pPr>
              <w:spacing w:after="0"/>
              <w:rPr>
                <w:sz w:val="20"/>
                <w:szCs w:val="20"/>
                <w:color w:val="auto"/>
              </w:rPr>
            </w:pPr>
            <w:r>
              <w:rPr>
                <w:rFonts w:ascii="Arial" w:cs="Arial" w:eastAsia="Arial" w:hAnsi="Arial"/>
                <w:sz w:val="18"/>
                <w:szCs w:val="18"/>
                <w:b w:val="1"/>
                <w:bCs w:val="1"/>
                <w:color w:val="auto"/>
              </w:rPr>
              <w:t>Joseph J. Savage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632"/>
        </w:trPr>
        <w:tc>
          <w:tcPr>
            <w:tcW w:w="40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3"/>
          </w:tcPr>
          <w:p>
            <w:pPr>
              <w:jc w:val="right"/>
              <w:ind w:right="2392"/>
              <w:spacing w:after="0"/>
              <w:rPr>
                <w:sz w:val="20"/>
                <w:szCs w:val="20"/>
                <w:color w:val="auto"/>
              </w:rPr>
            </w:pPr>
            <w:r>
              <w:rPr>
                <w:rFonts w:ascii="Arial" w:cs="Arial" w:eastAsia="Arial" w:hAnsi="Arial"/>
                <w:sz w:val="18"/>
                <w:szCs w:val="18"/>
                <w:color w:val="auto"/>
              </w:rPr>
              <w:t>129</w:t>
            </w: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1"/>
          <w:szCs w:val="21"/>
          <w:b w:val="1"/>
          <w:bCs w:val="1"/>
          <w:color w:val="auto"/>
        </w:rPr>
        <w:t>Exhibit 10.13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AMENDMENT NO. 3</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TO</w:t>
      </w:r>
    </w:p>
    <w:p>
      <w:pPr>
        <w:jc w:val="center"/>
        <w:spacing w:after="0"/>
        <w:rPr>
          <w:sz w:val="20"/>
          <w:szCs w:val="20"/>
          <w:color w:val="auto"/>
        </w:rPr>
      </w:pPr>
      <w:r>
        <w:rPr>
          <w:rFonts w:ascii="Arial" w:cs="Arial" w:eastAsia="Arial" w:hAnsi="Arial"/>
          <w:sz w:val="21"/>
          <w:szCs w:val="21"/>
          <w:color w:val="auto"/>
        </w:rPr>
        <w:t>AMENDED AND RESTATED LOAN AGREEMENT</w:t>
      </w:r>
    </w:p>
    <w:p>
      <w:pPr>
        <w:spacing w:after="0" w:line="227"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THIS AMENDMENT NO. 3 TO AMENDED AND RESTATED LOAN AGREEMENT (this “</w:t>
      </w:r>
      <w:r>
        <w:rPr>
          <w:rFonts w:ascii="Arial" w:cs="Arial" w:eastAsia="Arial" w:hAnsi="Arial"/>
          <w:sz w:val="15"/>
          <w:szCs w:val="15"/>
          <w:u w:val="single" w:color="auto"/>
          <w:color w:val="auto"/>
        </w:rPr>
        <w:t>Amendment</w:t>
      </w:r>
      <w:r>
        <w:rPr>
          <w:rFonts w:ascii="Arial" w:cs="Arial" w:eastAsia="Arial" w:hAnsi="Arial"/>
          <w:sz w:val="15"/>
          <w:szCs w:val="15"/>
          <w:color w:val="auto"/>
        </w:rPr>
        <w:t>”) dated as of December 28, 2018, is entered into by and among HORIZON CREDIT II LLC (the “</w:t>
      </w:r>
      <w:r>
        <w:rPr>
          <w:rFonts w:ascii="Arial" w:cs="Arial" w:eastAsia="Arial" w:hAnsi="Arial"/>
          <w:sz w:val="15"/>
          <w:szCs w:val="15"/>
          <w:u w:val="single" w:color="auto"/>
          <w:color w:val="auto"/>
        </w:rPr>
        <w:t>Borrower</w:t>
      </w:r>
      <w:r>
        <w:rPr>
          <w:rFonts w:ascii="Arial" w:cs="Arial" w:eastAsia="Arial" w:hAnsi="Arial"/>
          <w:sz w:val="15"/>
          <w:szCs w:val="15"/>
          <w:color w:val="auto"/>
        </w:rPr>
        <w:t>”), STATE BANK AND TRUST COMPANY, a Georgia banking corporation (successor by merger to AloStar Bank of Commerce), as a Lender, MUFG UNION BANK, N.A., as a Lender, and KEYBANK NATIONAL ASSOCIATION (successor by merger to Key Equipment Finance Inc.) as a Lender and as Arranger and Agent (in such capacity, the “</w:t>
      </w:r>
      <w:r>
        <w:rPr>
          <w:rFonts w:ascii="Arial" w:cs="Arial" w:eastAsia="Arial" w:hAnsi="Arial"/>
          <w:sz w:val="15"/>
          <w:szCs w:val="15"/>
          <w:u w:val="single" w:color="auto"/>
          <w:color w:val="auto"/>
        </w:rPr>
        <w:t>Agent</w:t>
      </w:r>
      <w:r>
        <w:rPr>
          <w:rFonts w:ascii="Arial" w:cs="Arial" w:eastAsia="Arial" w:hAnsi="Arial"/>
          <w:sz w:val="15"/>
          <w:szCs w:val="15"/>
          <w:color w:val="auto"/>
        </w:rPr>
        <w:t>”). Capitalized terms used and not otherwise defined herein are used with the meanings set forth or incorporated by reference in the Loan Agreement (as defined below).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PRELIMINARY STATEMENTS</w:t>
      </w:r>
    </w:p>
    <w:p>
      <w:pPr>
        <w:spacing w:after="0" w:line="217" w:lineRule="exact"/>
        <w:rPr>
          <w:sz w:val="20"/>
          <w:szCs w:val="20"/>
          <w:color w:val="auto"/>
        </w:rPr>
      </w:pPr>
    </w:p>
    <w:p>
      <w:pPr>
        <w:jc w:val="both"/>
        <w:ind w:firstLine="636"/>
        <w:spacing w:after="0" w:line="294" w:lineRule="auto"/>
        <w:rPr>
          <w:sz w:val="20"/>
          <w:szCs w:val="20"/>
          <w:color w:val="auto"/>
        </w:rPr>
      </w:pPr>
      <w:r>
        <w:rPr>
          <w:rFonts w:ascii="Arial" w:cs="Arial" w:eastAsia="Arial" w:hAnsi="Arial"/>
          <w:sz w:val="17"/>
          <w:szCs w:val="17"/>
          <w:color w:val="auto"/>
        </w:rPr>
        <w:t>A. Reference is made to that certain Amended and Restated Loan and Security Agreement dated as of November 4, 2013 by and among the Borrower, the Lenders and the Agent (as amended, modified, supplemented or otherwise modified prior to the date hereof, the “</w:t>
      </w:r>
      <w:r>
        <w:rPr>
          <w:rFonts w:ascii="Arial" w:cs="Arial" w:eastAsia="Arial" w:hAnsi="Arial"/>
          <w:sz w:val="17"/>
          <w:szCs w:val="17"/>
          <w:u w:val="single" w:color="auto"/>
          <w:color w:val="auto"/>
        </w:rPr>
        <w:t>Loan Agreement</w:t>
      </w:r>
      <w:r>
        <w:rPr>
          <w:rFonts w:ascii="Arial" w:cs="Arial" w:eastAsia="Arial" w:hAnsi="Arial"/>
          <w:sz w:val="17"/>
          <w:szCs w:val="17"/>
          <w:color w:val="auto"/>
        </w:rPr>
        <w: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 The parties hereto have agreed to amend certain provisions of the Loan Agreement upon the terms and conditions set forth herein.</w:t>
      </w:r>
    </w:p>
    <w:p>
      <w:pPr>
        <w:spacing w:after="0" w:line="217"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8"/>
          <w:szCs w:val="18"/>
          <w:color w:val="auto"/>
        </w:rPr>
        <w:t>NOW, THEREFORE, in consideration of the premises set forth above, and other good and valuable consideration the receipt and sufficiency of which is hereby acknowledged, the parties hereto agree as follows: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Article I. </w:t>
      </w:r>
      <w:r>
        <w:rPr>
          <w:rFonts w:ascii="Arial" w:cs="Arial" w:eastAsia="Arial" w:hAnsi="Arial"/>
          <w:sz w:val="18"/>
          <w:szCs w:val="18"/>
          <w:u w:val="single" w:color="auto"/>
          <w:color w:val="auto"/>
        </w:rPr>
        <w:t>Amendments to the Loan Agreement</w:t>
      </w:r>
      <w:r>
        <w:rPr>
          <w:rFonts w:ascii="Arial" w:cs="Arial" w:eastAsia="Arial" w:hAnsi="Arial"/>
          <w:sz w:val="18"/>
          <w:szCs w:val="18"/>
          <w:color w:val="auto"/>
        </w:rPr>
        <w:t xml:space="preserve">. Upon satisfaction of the conditions precedent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the Loan Agreement is hereby amended as follows:</w:t>
      </w:r>
    </w:p>
    <w:p>
      <w:pPr>
        <w:spacing w:after="0" w:line="179"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5"/>
          <w:szCs w:val="15"/>
          <w:u w:val="single" w:color="auto"/>
          <w:color w:val="auto"/>
        </w:rPr>
        <w:t>Additions to Section 1.1</w:t>
      </w:r>
      <w:r>
        <w:rPr>
          <w:rFonts w:ascii="Arial" w:cs="Arial" w:eastAsia="Arial" w:hAnsi="Arial"/>
          <w:sz w:val="15"/>
          <w:szCs w:val="15"/>
          <w:color w:val="auto"/>
        </w:rPr>
        <w:t>. The following defined terms shall be added to Section 1.1 in alphabetical order as follows:</w:t>
      </w:r>
    </w:p>
    <w:p>
      <w:pPr>
        <w:spacing w:after="0" w:line="217" w:lineRule="exact"/>
        <w:rPr>
          <w:sz w:val="20"/>
          <w:szCs w:val="20"/>
          <w:color w:val="auto"/>
        </w:rPr>
      </w:pPr>
    </w:p>
    <w:p>
      <w:pPr>
        <w:ind w:left="1880" w:hanging="601"/>
        <w:spacing w:after="0"/>
        <w:tabs>
          <w:tab w:leader="none" w:pos="1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No. 3 Effective Date</w:t>
      </w:r>
      <w:r>
        <w:rPr>
          <w:rFonts w:ascii="Arial" w:cs="Arial" w:eastAsia="Arial" w:hAnsi="Arial"/>
          <w:sz w:val="18"/>
          <w:szCs w:val="18"/>
          <w:color w:val="auto"/>
        </w:rPr>
        <w:t>” means December 28, 2018.</w:t>
      </w:r>
    </w:p>
    <w:p>
      <w:pPr>
        <w:spacing w:after="0" w:line="217"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5"/>
          <w:szCs w:val="15"/>
          <w:u w:val="single" w:color="auto"/>
          <w:color w:val="auto"/>
        </w:rPr>
        <w:t>Amendments to Existing Definitions</w:t>
      </w:r>
      <w:r>
        <w:rPr>
          <w:rFonts w:ascii="Arial" w:cs="Arial" w:eastAsia="Arial" w:hAnsi="Arial"/>
          <w:sz w:val="15"/>
          <w:szCs w:val="15"/>
          <w:color w:val="auto"/>
        </w:rPr>
        <w:t>. The following defined terms are amended as follows:</w:t>
      </w:r>
    </w:p>
    <w:p>
      <w:pPr>
        <w:spacing w:after="0" w:line="217" w:lineRule="exact"/>
        <w:rPr>
          <w:sz w:val="20"/>
          <w:szCs w:val="20"/>
          <w:color w:val="auto"/>
        </w:rPr>
      </w:pPr>
    </w:p>
    <w:p>
      <w:pPr>
        <w:ind w:left="1880" w:hanging="601"/>
        <w:spacing w:after="0"/>
        <w:tabs>
          <w:tab w:leader="none" w:pos="1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definition of “Facility Amount” is deleted in its entirety, and the following substituted therefor:</w:t>
      </w:r>
    </w:p>
    <w:p>
      <w:pPr>
        <w:spacing w:after="0" w:line="217" w:lineRule="exact"/>
        <w:rPr>
          <w:sz w:val="20"/>
          <w:szCs w:val="20"/>
          <w:color w:val="auto"/>
        </w:rPr>
      </w:pPr>
    </w:p>
    <w:p>
      <w:pPr>
        <w:jc w:val="both"/>
        <w:ind w:left="192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Amount</w:t>
      </w:r>
      <w:r>
        <w:rPr>
          <w:rFonts w:ascii="Arial" w:cs="Arial" w:eastAsia="Arial" w:hAnsi="Arial"/>
          <w:sz w:val="18"/>
          <w:szCs w:val="18"/>
          <w:color w:val="auto"/>
        </w:rPr>
        <w:t xml:space="preserve">” means, at any time and as reduced or increased from time to time, pursuant to the terms of this Agreement the aggregate dollar amount of Commitments of all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on the Termination Date and on each date thereafter, the Facility Amount shall be equal to the outstanding Advances as of such date. As of the Amendment No. 3 Effective Date, the Facility Amount is $125,000,000. The Facility Amount may be increased up to a total of $150,000,000 in accordance with the provisions of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417830</wp:posOffset>
            </wp:positionV>
            <wp:extent cx="7249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2" w:name="page133"/>
    <w:bookmarkEnd w:id="132"/>
    <w:p>
      <w:pPr>
        <w:ind w:left="640"/>
        <w:spacing w:after="0"/>
        <w:tabs>
          <w:tab w:leader="none" w:pos="186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5"/>
          <w:szCs w:val="15"/>
          <w:u w:val="single" w:color="auto"/>
          <w:color w:val="auto"/>
        </w:rPr>
        <w:t>Amendments to Schedule C-1</w:t>
      </w:r>
      <w:r>
        <w:rPr>
          <w:rFonts w:ascii="Arial" w:cs="Arial" w:eastAsia="Arial" w:hAnsi="Arial"/>
          <w:sz w:val="15"/>
          <w:szCs w:val="15"/>
          <w:color w:val="auto"/>
        </w:rPr>
        <w:t>. Schedule C-1 to the Loan Agreement is deleted in its entirety, and the following substituted therefor:</w:t>
      </w:r>
    </w:p>
    <w:p>
      <w:pPr>
        <w:spacing w:after="0" w:line="211" w:lineRule="exact"/>
        <w:rPr>
          <w:sz w:val="20"/>
          <w:szCs w:val="20"/>
          <w:color w:val="auto"/>
        </w:rPr>
      </w:pPr>
    </w:p>
    <w:tbl>
      <w:tblPr>
        <w:tblLayout w:type="fixed"/>
        <w:tblInd w:w="1730" w:type="dxa"/>
        <w:tblCellMar>
          <w:top w:w="0" w:type="dxa"/>
          <w:left w:w="0" w:type="dxa"/>
          <w:bottom w:w="0" w:type="dxa"/>
          <w:right w:w="0" w:type="dxa"/>
        </w:tblCellMar>
      </w:tblPr>
      <w:tr>
        <w:trPr>
          <w:trHeight w:val="229"/>
        </w:trPr>
        <w:tc>
          <w:tcPr>
            <w:tcW w:w="2380" w:type="dxa"/>
            <w:vAlign w:val="bottom"/>
          </w:tcPr>
          <w:p>
            <w:pPr>
              <w:spacing w:after="0"/>
              <w:rPr>
                <w:sz w:val="19"/>
                <w:szCs w:val="19"/>
                <w:color w:val="auto"/>
              </w:rPr>
            </w:pPr>
          </w:p>
        </w:tc>
        <w:tc>
          <w:tcPr>
            <w:tcW w:w="5620" w:type="dxa"/>
            <w:vAlign w:val="bottom"/>
            <w:gridSpan w:val="2"/>
          </w:tcPr>
          <w:p>
            <w:pPr>
              <w:jc w:val="center"/>
              <w:ind w:right="2292"/>
              <w:spacing w:after="0"/>
              <w:rPr>
                <w:sz w:val="20"/>
                <w:szCs w:val="20"/>
                <w:color w:val="auto"/>
              </w:rPr>
            </w:pPr>
            <w:r>
              <w:rPr>
                <w:rFonts w:ascii="Arial" w:cs="Arial" w:eastAsia="Arial" w:hAnsi="Arial"/>
                <w:sz w:val="18"/>
                <w:szCs w:val="18"/>
                <w:b w:val="1"/>
                <w:bCs w:val="1"/>
                <w:color w:val="auto"/>
                <w:w w:val="87"/>
              </w:rPr>
              <w:t>Schedule C-1</w:t>
            </w:r>
          </w:p>
        </w:tc>
      </w:tr>
      <w:tr>
        <w:trPr>
          <w:trHeight w:val="424"/>
        </w:trPr>
        <w:tc>
          <w:tcPr>
            <w:tcW w:w="2380" w:type="dxa"/>
            <w:vAlign w:val="bottom"/>
          </w:tcPr>
          <w:p>
            <w:pPr>
              <w:spacing w:after="0"/>
              <w:rPr>
                <w:sz w:val="24"/>
                <w:szCs w:val="24"/>
                <w:color w:val="auto"/>
              </w:rPr>
            </w:pPr>
          </w:p>
        </w:tc>
        <w:tc>
          <w:tcPr>
            <w:tcW w:w="5620" w:type="dxa"/>
            <w:vAlign w:val="bottom"/>
            <w:gridSpan w:val="2"/>
          </w:tcPr>
          <w:p>
            <w:pPr>
              <w:jc w:val="center"/>
              <w:ind w:right="2312"/>
              <w:spacing w:after="0"/>
              <w:rPr>
                <w:sz w:val="20"/>
                <w:szCs w:val="20"/>
                <w:color w:val="auto"/>
              </w:rPr>
            </w:pPr>
            <w:r>
              <w:rPr>
                <w:rFonts w:ascii="Arial" w:cs="Arial" w:eastAsia="Arial" w:hAnsi="Arial"/>
                <w:sz w:val="18"/>
                <w:szCs w:val="18"/>
                <w:b w:val="1"/>
                <w:bCs w:val="1"/>
                <w:color w:val="auto"/>
                <w:w w:val="88"/>
              </w:rPr>
              <w:t>Commitments</w:t>
            </w:r>
          </w:p>
        </w:tc>
      </w:tr>
      <w:tr>
        <w:trPr>
          <w:trHeight w:val="424"/>
        </w:trPr>
        <w:tc>
          <w:tcPr>
            <w:tcW w:w="2380" w:type="dxa"/>
            <w:vAlign w:val="bottom"/>
          </w:tcPr>
          <w:p>
            <w:pPr>
              <w:spacing w:after="0"/>
              <w:rPr>
                <w:sz w:val="24"/>
                <w:szCs w:val="24"/>
                <w:color w:val="auto"/>
              </w:rPr>
            </w:pPr>
          </w:p>
        </w:tc>
        <w:tc>
          <w:tcPr>
            <w:tcW w:w="5620" w:type="dxa"/>
            <w:vAlign w:val="bottom"/>
            <w:gridSpan w:val="2"/>
          </w:tcPr>
          <w:p>
            <w:pPr>
              <w:jc w:val="center"/>
              <w:ind w:right="2312"/>
              <w:spacing w:after="0"/>
              <w:rPr>
                <w:sz w:val="20"/>
                <w:szCs w:val="20"/>
                <w:color w:val="auto"/>
              </w:rPr>
            </w:pPr>
            <w:r>
              <w:rPr>
                <w:rFonts w:ascii="Arial" w:cs="Arial" w:eastAsia="Arial" w:hAnsi="Arial"/>
                <w:sz w:val="18"/>
                <w:szCs w:val="18"/>
                <w:b w:val="1"/>
                <w:bCs w:val="1"/>
                <w:color w:val="auto"/>
                <w:w w:val="88"/>
              </w:rPr>
              <w:t>(as of Amendment No. 2 Effective Date)</w:t>
            </w:r>
          </w:p>
        </w:tc>
      </w:tr>
      <w:tr>
        <w:trPr>
          <w:trHeight w:val="220"/>
        </w:trPr>
        <w:tc>
          <w:tcPr>
            <w:tcW w:w="2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r>
      <w:tr>
        <w:trPr>
          <w:trHeight w:val="219"/>
        </w:trPr>
        <w:tc>
          <w:tcPr>
            <w:tcW w:w="2380" w:type="dxa"/>
            <w:vAlign w:val="bottom"/>
            <w:tcBorders>
              <w:left w:val="single" w:sz="8" w:color="auto"/>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Lender</w:t>
            </w:r>
          </w:p>
        </w:tc>
        <w:tc>
          <w:tcPr>
            <w:tcW w:w="1480" w:type="dxa"/>
            <w:vAlign w:val="bottom"/>
            <w:tcBorders>
              <w:bottom w:val="single" w:sz="8" w:color="auto"/>
              <w:right w:val="single" w:sz="8" w:color="auto"/>
            </w:tcBorders>
            <w:shd w:val="clear" w:color="auto" w:fill="F2F2F2"/>
          </w:tcPr>
          <w:p>
            <w:pPr>
              <w:spacing w:after="0"/>
              <w:rPr>
                <w:sz w:val="19"/>
                <w:szCs w:val="19"/>
                <w:color w:val="auto"/>
              </w:rPr>
            </w:pPr>
          </w:p>
        </w:tc>
        <w:tc>
          <w:tcPr>
            <w:tcW w:w="4140" w:type="dxa"/>
            <w:vAlign w:val="bottom"/>
            <w:tcBorders>
              <w:bottom w:val="single" w:sz="8" w:color="auto"/>
              <w:right w:val="single" w:sz="8" w:color="auto"/>
            </w:tcBorders>
            <w:shd w:val="clear" w:color="auto" w:fill="F2F2F2"/>
          </w:tcPr>
          <w:p>
            <w:pPr>
              <w:spacing w:after="0"/>
              <w:rPr>
                <w:sz w:val="20"/>
                <w:szCs w:val="20"/>
                <w:color w:val="auto"/>
              </w:rPr>
            </w:pPr>
            <w:r>
              <w:rPr>
                <w:rFonts w:ascii="Arial" w:cs="Arial" w:eastAsia="Arial" w:hAnsi="Arial"/>
                <w:sz w:val="18"/>
                <w:szCs w:val="18"/>
                <w:color w:val="auto"/>
              </w:rPr>
              <w:t>Commitment</w:t>
            </w:r>
          </w:p>
        </w:tc>
      </w:tr>
      <w:tr>
        <w:trPr>
          <w:trHeight w:val="219"/>
        </w:trPr>
        <w:tc>
          <w:tcPr>
            <w:tcW w:w="2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6"/>
              </w:rPr>
              <w:t>KeyBank National Association</w:t>
            </w:r>
          </w:p>
        </w:tc>
        <w:tc>
          <w:tcPr>
            <w:tcW w:w="148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$75,000,000</w:t>
            </w:r>
          </w:p>
        </w:tc>
      </w:tr>
      <w:tr>
        <w:trPr>
          <w:trHeight w:val="200"/>
        </w:trPr>
        <w:tc>
          <w:tcPr>
            <w:tcW w:w="3860" w:type="dxa"/>
            <w:vAlign w:val="bottom"/>
            <w:tcBorders>
              <w:left w:val="single" w:sz="8" w:color="auto"/>
              <w:right w:val="single" w:sz="8" w:color="auto"/>
            </w:tcBorders>
            <w:gridSpan w:val="2"/>
          </w:tcPr>
          <w:p>
            <w:pPr>
              <w:ind w:left="40"/>
              <w:spacing w:after="0" w:line="200" w:lineRule="exact"/>
              <w:rPr>
                <w:sz w:val="20"/>
                <w:szCs w:val="20"/>
                <w:color w:val="auto"/>
              </w:rPr>
            </w:pPr>
            <w:r>
              <w:rPr>
                <w:rFonts w:ascii="Arial" w:cs="Arial" w:eastAsia="Arial" w:hAnsi="Arial"/>
                <w:sz w:val="18"/>
                <w:szCs w:val="18"/>
                <w:color w:val="auto"/>
                <w:w w:val="88"/>
              </w:rPr>
              <w:t>State Bank and Trust Company (successor by merger</w:t>
            </w:r>
          </w:p>
        </w:tc>
        <w:tc>
          <w:tcPr>
            <w:tcW w:w="4140" w:type="dxa"/>
            <w:vAlign w:val="bottom"/>
            <w:tcBorders>
              <w:right w:val="single" w:sz="8" w:color="auto"/>
            </w:tcBorders>
          </w:tcPr>
          <w:p>
            <w:pPr>
              <w:spacing w:after="0"/>
              <w:rPr>
                <w:sz w:val="17"/>
                <w:szCs w:val="17"/>
                <w:color w:val="auto"/>
              </w:rPr>
            </w:pPr>
          </w:p>
        </w:tc>
      </w:tr>
      <w:tr>
        <w:trPr>
          <w:trHeight w:val="231"/>
        </w:trPr>
        <w:tc>
          <w:tcPr>
            <w:tcW w:w="2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5"/>
              </w:rPr>
              <w:t>to AloStar Bank of Commerce)</w:t>
            </w:r>
          </w:p>
        </w:tc>
        <w:tc>
          <w:tcPr>
            <w:tcW w:w="1480" w:type="dxa"/>
            <w:vAlign w:val="bottom"/>
            <w:tcBorders>
              <w:bottom w:val="single" w:sz="8" w:color="auto"/>
              <w:right w:val="single" w:sz="8" w:color="auto"/>
            </w:tcBorders>
          </w:tcPr>
          <w:p>
            <w:pPr>
              <w:spacing w:after="0"/>
              <w:rPr>
                <w:sz w:val="20"/>
                <w:szCs w:val="20"/>
                <w:color w:val="auto"/>
              </w:rPr>
            </w:pPr>
          </w:p>
        </w:tc>
        <w:tc>
          <w:tcPr>
            <w:tcW w:w="4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$20,000,000</w:t>
            </w:r>
          </w:p>
        </w:tc>
      </w:tr>
      <w:tr>
        <w:trPr>
          <w:trHeight w:val="219"/>
        </w:trPr>
        <w:tc>
          <w:tcPr>
            <w:tcW w:w="2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MUFG Union Bank, N.A.</w:t>
            </w:r>
          </w:p>
        </w:tc>
        <w:tc>
          <w:tcPr>
            <w:tcW w:w="148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$30,000,000</w:t>
            </w:r>
          </w:p>
        </w:tc>
      </w:tr>
      <w:tr>
        <w:trPr>
          <w:trHeight w:val="219"/>
        </w:trPr>
        <w:tc>
          <w:tcPr>
            <w:tcW w:w="2380" w:type="dxa"/>
            <w:vAlign w:val="bottom"/>
            <w:tcBorders>
              <w:left w:val="single" w:sz="8" w:color="auto"/>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19"/>
                <w:szCs w:val="19"/>
                <w:color w:val="auto"/>
              </w:rPr>
            </w:pPr>
          </w:p>
        </w:tc>
      </w:tr>
      <w:tr>
        <w:trPr>
          <w:trHeight w:val="219"/>
        </w:trPr>
        <w:tc>
          <w:tcPr>
            <w:tcW w:w="2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All Lenders</w:t>
            </w:r>
          </w:p>
        </w:tc>
        <w:tc>
          <w:tcPr>
            <w:tcW w:w="148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$125,000,000</w:t>
            </w:r>
          </w:p>
        </w:tc>
      </w:tr>
    </w:tbl>
    <w:p>
      <w:pPr>
        <w:spacing w:after="0" w:line="200" w:lineRule="exact"/>
        <w:rPr>
          <w:sz w:val="20"/>
          <w:szCs w:val="20"/>
          <w:color w:val="auto"/>
        </w:rPr>
      </w:pPr>
    </w:p>
    <w:p>
      <w:pPr>
        <w:spacing w:after="0" w:line="212" w:lineRule="exact"/>
        <w:rPr>
          <w:sz w:val="20"/>
          <w:szCs w:val="20"/>
          <w:color w:val="auto"/>
        </w:rPr>
      </w:pPr>
    </w:p>
    <w:p>
      <w:pPr>
        <w:spacing w:after="0" w:line="366" w:lineRule="auto"/>
        <w:rPr>
          <w:sz w:val="20"/>
          <w:szCs w:val="20"/>
          <w:color w:val="auto"/>
        </w:rPr>
      </w:pPr>
      <w:r>
        <w:rPr>
          <w:rFonts w:ascii="Arial" w:cs="Arial" w:eastAsia="Arial" w:hAnsi="Arial"/>
          <w:sz w:val="15"/>
          <w:szCs w:val="15"/>
          <w:color w:val="auto"/>
        </w:rPr>
        <w:t xml:space="preserve">Article II.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Borrower hereby represents and warrants to each of the other parties hereto (and the parties hereto agree that the following representations and warranties shall be deemed to have been made pursuant to the Loan Agreement for purposes of Section 8.5 thereof), that:</w:t>
      </w:r>
    </w:p>
    <w:p>
      <w:pPr>
        <w:spacing w:after="0" w:line="110" w:lineRule="exact"/>
        <w:rPr>
          <w:sz w:val="20"/>
          <w:szCs w:val="20"/>
          <w:color w:val="auto"/>
        </w:rPr>
      </w:pPr>
    </w:p>
    <w:p>
      <w:pPr>
        <w:ind w:left="1320" w:hanging="678"/>
        <w:spacing w:after="0"/>
        <w:tabs>
          <w:tab w:leader="none" w:pos="1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Amendment constitutes its legal, valid and binding obligation, enforceable against it in accordance with its terms; and</w:t>
      </w:r>
    </w:p>
    <w:p>
      <w:pPr>
        <w:spacing w:after="0" w:line="217" w:lineRule="exact"/>
        <w:rPr>
          <w:rFonts w:ascii="Arial" w:cs="Arial" w:eastAsia="Arial" w:hAnsi="Arial"/>
          <w:sz w:val="18"/>
          <w:szCs w:val="18"/>
          <w:color w:val="auto"/>
        </w:rPr>
      </w:pPr>
    </w:p>
    <w:p>
      <w:pPr>
        <w:ind w:firstLine="642"/>
        <w:spacing w:after="0" w:line="265" w:lineRule="auto"/>
        <w:tabs>
          <w:tab w:leader="none" w:pos="13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the date hereof, before and after giving effect to this Amendment, other than as amended or waived pursuant to this Amendment, no Early Termination Event or Unmatured Termination Event has occurred and is continuing.</w:t>
      </w:r>
    </w:p>
    <w:p>
      <w:pPr>
        <w:spacing w:after="0" w:line="179"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 xml:space="preserve">Article III.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Amendment shall become effective on the first Business Day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the Agent or its counsel has received:</w:t>
      </w:r>
    </w:p>
    <w:p>
      <w:pPr>
        <w:spacing w:after="0" w:line="179" w:lineRule="exact"/>
        <w:rPr>
          <w:sz w:val="20"/>
          <w:szCs w:val="20"/>
          <w:color w:val="auto"/>
        </w:rPr>
      </w:pPr>
    </w:p>
    <w:p>
      <w:pPr>
        <w:ind w:left="1360" w:hanging="718"/>
        <w:spacing w:after="0"/>
        <w:tabs>
          <w:tab w:leader="none" w:pos="1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counterpart signature pages of this Amendment, executed by each of the parties hereto;</w:t>
      </w:r>
    </w:p>
    <w:p>
      <w:pPr>
        <w:spacing w:after="0" w:line="217" w:lineRule="exact"/>
        <w:rPr>
          <w:rFonts w:ascii="Arial" w:cs="Arial" w:eastAsia="Arial" w:hAnsi="Arial"/>
          <w:sz w:val="18"/>
          <w:szCs w:val="18"/>
          <w:color w:val="auto"/>
        </w:rPr>
      </w:pPr>
    </w:p>
    <w:p>
      <w:pPr>
        <w:ind w:firstLine="642"/>
        <w:spacing w:after="0" w:line="265" w:lineRule="auto"/>
        <w:tabs>
          <w:tab w:leader="none" w:pos="1381"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confirmation by each Lender and the Agent of payment by the Borrower of the fees described in the “Fee Letter” between the Borrower and KeyBank National Association, dated the date hereof; and</w:t>
      </w:r>
    </w:p>
    <w:p>
      <w:pPr>
        <w:spacing w:after="0" w:line="179" w:lineRule="exact"/>
        <w:rPr>
          <w:rFonts w:ascii="Arial" w:cs="Arial" w:eastAsia="Arial" w:hAnsi="Arial"/>
          <w:sz w:val="18"/>
          <w:szCs w:val="18"/>
          <w:color w:val="auto"/>
        </w:rPr>
      </w:pPr>
    </w:p>
    <w:p>
      <w:pPr>
        <w:jc w:val="both"/>
        <w:ind w:firstLine="642"/>
        <w:spacing w:after="0" w:line="255" w:lineRule="auto"/>
        <w:tabs>
          <w:tab w:leader="none" w:pos="14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certificate from the Secretary (or equivalent) of the Borrower, in form and substance satisfactory to the Agent, certifying as to incumbency, corporate authorization and authority to enter into and perform this Amendment and to perform Loan Agreement as amended hereby and other customary matters.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133" w:name="page134"/>
    <w:bookmarkEnd w:id="133"/>
    <w:p>
      <w:pPr>
        <w:spacing w:after="0"/>
        <w:tabs>
          <w:tab w:leader="none" w:pos="1340" w:val="left"/>
        </w:tabs>
        <w:rPr>
          <w:sz w:val="20"/>
          <w:szCs w:val="20"/>
          <w:color w:val="auto"/>
        </w:rPr>
      </w:pPr>
      <w:r>
        <w:rPr>
          <w:rFonts w:ascii="Arial" w:cs="Arial" w:eastAsia="Arial" w:hAnsi="Arial"/>
          <w:sz w:val="18"/>
          <w:szCs w:val="18"/>
          <w:color w:val="auto"/>
        </w:rPr>
        <w:t>Article IV.</w:t>
      </w:r>
      <w:r>
        <w:rPr>
          <w:sz w:val="20"/>
          <w:szCs w:val="20"/>
          <w:color w:val="auto"/>
        </w:rPr>
        <w:tab/>
      </w: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217"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5"/>
          <w:szCs w:val="15"/>
          <w:color w:val="auto"/>
        </w:rPr>
        <w:t>Reference to and Effect on the Loan Documents.</w:t>
      </w:r>
    </w:p>
    <w:p>
      <w:pPr>
        <w:spacing w:after="0" w:line="217" w:lineRule="exact"/>
        <w:rPr>
          <w:sz w:val="20"/>
          <w:szCs w:val="20"/>
          <w:color w:val="auto"/>
        </w:rPr>
      </w:pPr>
    </w:p>
    <w:p>
      <w:pPr>
        <w:jc w:val="both"/>
        <w:ind w:left="640" w:firstLine="639"/>
        <w:spacing w:after="0" w:line="318" w:lineRule="auto"/>
        <w:tabs>
          <w:tab w:leader="none" w:pos="1919" w:val="left"/>
        </w:tabs>
        <w:numPr>
          <w:ilvl w:val="0"/>
          <w:numId w:val="68"/>
        </w:numPr>
        <w:rPr>
          <w:rFonts w:ascii="Arial" w:cs="Arial" w:eastAsia="Arial" w:hAnsi="Arial"/>
          <w:sz w:val="15"/>
          <w:szCs w:val="15"/>
          <w:color w:val="auto"/>
        </w:rPr>
      </w:pPr>
      <w:r>
        <w:rPr>
          <w:rFonts w:ascii="Arial" w:cs="Arial" w:eastAsia="Arial" w:hAnsi="Arial"/>
          <w:sz w:val="15"/>
          <w:szCs w:val="15"/>
          <w:color w:val="auto"/>
        </w:rPr>
        <w:t>Upon the effectiveness of this Amendment, (i) each reference in the Loan Agreement to “this Loan Agreement”, “this Agreement”, “hereunder”, “hereof”, “herein” or words of like import shall mean and be a reference to the Loan Agreement as amended or otherwise modified hereby, and (ii) each reference to the Loan Agreement in any other Loan Document or any other document, instrument or agreement executed and/or delivered in connection therewith, shall mean and be a reference to the Loan Agreement as amended or otherwise modified hereby.</w:t>
      </w:r>
    </w:p>
    <w:p>
      <w:pPr>
        <w:spacing w:after="0" w:line="146" w:lineRule="exact"/>
        <w:rPr>
          <w:rFonts w:ascii="Arial" w:cs="Arial" w:eastAsia="Arial" w:hAnsi="Arial"/>
          <w:sz w:val="15"/>
          <w:szCs w:val="15"/>
          <w:color w:val="auto"/>
        </w:rPr>
      </w:pPr>
    </w:p>
    <w:p>
      <w:pPr>
        <w:jc w:val="both"/>
        <w:ind w:left="640" w:firstLine="639"/>
        <w:spacing w:after="0" w:line="255" w:lineRule="auto"/>
        <w:tabs>
          <w:tab w:leader="none" w:pos="18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Except as specifically amended, terminated or otherwise modified above, the terms and conditions of the Loan Agreement, of all other Loan Documents and any other documents, instruments and agreements executed and/or delivered in connection therewith, shall remain in full force and effect and are hereby ratified and confirmed.</w:t>
      </w:r>
    </w:p>
    <w:p>
      <w:pPr>
        <w:spacing w:after="0" w:line="188" w:lineRule="exact"/>
        <w:rPr>
          <w:rFonts w:ascii="Arial" w:cs="Arial" w:eastAsia="Arial" w:hAnsi="Arial"/>
          <w:sz w:val="18"/>
          <w:szCs w:val="18"/>
          <w:color w:val="auto"/>
        </w:rPr>
      </w:pPr>
    </w:p>
    <w:p>
      <w:pPr>
        <w:jc w:val="both"/>
        <w:ind w:left="640" w:firstLine="639"/>
        <w:spacing w:after="0" w:line="277" w:lineRule="auto"/>
        <w:tabs>
          <w:tab w:leader="none" w:pos="188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execution, delivery and effectiveness of this Amendment shall not operate as a waiver of any right, power or remedy of the Agent or any Lender under the Loan Agreement or any other Loan Document or any other document, instrument or agreement executed in connection therewith, nor constitute a waiver of any provision contained therein, in each case except as specifically set forth herein.</w:t>
      </w:r>
    </w:p>
    <w:p>
      <w:pPr>
        <w:spacing w:after="0" w:line="172"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Amendment may be executed in any number of counterparts and by different parties hereto in separate counterparts, each of which when so executed and delivered shall be deemed to be an original and all of which taken together shall constitute but one and the same instrument. Delivery of an executed counterpart of a signature page to this Amendment by telecopier shall be effective as delivery of a manually executed counterpart of this Amendment.</w:t>
      </w:r>
    </w:p>
    <w:p>
      <w:pPr>
        <w:spacing w:after="0" w:line="191"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5"/>
          <w:szCs w:val="15"/>
          <w:u w:val="single" w:color="auto"/>
          <w:color w:val="auto"/>
        </w:rPr>
        <w:t>Governing Law</w:t>
      </w:r>
      <w:r>
        <w:rPr>
          <w:rFonts w:ascii="Arial" w:cs="Arial" w:eastAsia="Arial" w:hAnsi="Arial"/>
          <w:sz w:val="15"/>
          <w:szCs w:val="15"/>
          <w:color w:val="auto"/>
        </w:rPr>
        <w:t>. This Amendment shall be governed by and construed in accordance with the laws of the State of New York.</w:t>
      </w:r>
    </w:p>
    <w:p>
      <w:pPr>
        <w:spacing w:after="0" w:line="217"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134" w:name="page135"/>
    <w:bookmarkEnd w:id="134"/>
    <w:p>
      <w:pPr>
        <w:ind w:left="640"/>
        <w:spacing w:after="0"/>
        <w:rPr>
          <w:sz w:val="20"/>
          <w:szCs w:val="20"/>
          <w:color w:val="auto"/>
        </w:rPr>
      </w:pPr>
      <w:r>
        <w:rPr>
          <w:rFonts w:ascii="Arial" w:cs="Arial" w:eastAsia="Arial" w:hAnsi="Arial"/>
          <w:sz w:val="15"/>
          <w:szCs w:val="15"/>
          <w:color w:val="auto"/>
        </w:rPr>
        <w:t>IN WITNESS WHEREOF, the parties hereto have caused this Amendment to be duly executed by their respective officers as of the date first above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HORIZON CREDIT II LLC</w:t>
      </w: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11430</wp:posOffset>
            </wp:positionV>
            <wp:extent cx="19532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Signature Page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431800</wp:posOffset>
            </wp:positionV>
            <wp:extent cx="7249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080"/>
          </w:cols>
          <w:pgMar w:left="240" w:top="896" w:right="579" w:bottom="1440" w:gutter="0" w:footer="0" w:header="0"/>
        </w:sectPr>
      </w:pPr>
    </w:p>
    <w:bookmarkStart w:id="135" w:name="page136"/>
    <w:bookmarkEnd w:id="135"/>
    <w:p>
      <w:pPr>
        <w:ind w:left="4520"/>
        <w:spacing w:after="0"/>
        <w:rPr>
          <w:sz w:val="20"/>
          <w:szCs w:val="20"/>
          <w:color w:val="auto"/>
        </w:rPr>
      </w:pPr>
      <w:r>
        <w:rPr>
          <w:rFonts w:ascii="Arial" w:cs="Arial" w:eastAsia="Arial" w:hAnsi="Arial"/>
          <w:sz w:val="18"/>
          <w:szCs w:val="18"/>
          <w:color w:val="auto"/>
        </w:rPr>
        <w:t>KEYBANK NATIONAL ASSOCIATION, as Agent</w:t>
      </w:r>
    </w:p>
    <w:p>
      <w:pPr>
        <w:spacing w:after="0" w:line="200" w:lineRule="exact"/>
        <w:rPr>
          <w:sz w:val="20"/>
          <w:szCs w:val="20"/>
          <w:color w:val="auto"/>
        </w:rPr>
      </w:pP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11430</wp:posOffset>
            </wp:positionV>
            <wp:extent cx="19532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KEYBANK NATIONAL ASSOCIATION, as a Lender</w:t>
      </w:r>
    </w:p>
    <w:p>
      <w:pPr>
        <w:spacing w:after="0" w:line="200" w:lineRule="exact"/>
        <w:rPr>
          <w:sz w:val="20"/>
          <w:szCs w:val="20"/>
          <w:color w:val="auto"/>
        </w:rPr>
      </w:pP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11430</wp:posOffset>
            </wp:positionV>
            <wp:extent cx="19532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Signature Page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454025</wp:posOffset>
            </wp:positionV>
            <wp:extent cx="7249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136" w:name="page137"/>
    <w:bookmarkEnd w:id="136"/>
    <w:p>
      <w:pPr>
        <w:jc w:val="right"/>
        <w:ind w:right="599"/>
        <w:spacing w:after="0"/>
        <w:rPr>
          <w:sz w:val="20"/>
          <w:szCs w:val="20"/>
          <w:color w:val="auto"/>
        </w:rPr>
      </w:pPr>
      <w:r>
        <w:rPr>
          <w:rFonts w:ascii="Arial" w:cs="Arial" w:eastAsia="Arial" w:hAnsi="Arial"/>
          <w:sz w:val="18"/>
          <w:szCs w:val="18"/>
          <w:color w:val="auto"/>
        </w:rPr>
        <w:t>STATE BANK AND TRUST COMPANY, as a Lender</w:t>
      </w:r>
    </w:p>
    <w:p>
      <w:pPr>
        <w:spacing w:after="0" w:line="200" w:lineRule="exact"/>
        <w:rPr>
          <w:sz w:val="20"/>
          <w:szCs w:val="20"/>
          <w:color w:val="auto"/>
        </w:rPr>
      </w:pP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11430</wp:posOffset>
            </wp:positionV>
            <wp:extent cx="19532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Signature Page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454025</wp:posOffset>
            </wp:positionV>
            <wp:extent cx="7249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137" w:name="page138"/>
    <w:bookmarkEnd w:id="137"/>
    <w:p>
      <w:pPr>
        <w:jc w:val="right"/>
        <w:ind w:right="1499"/>
        <w:spacing w:after="0"/>
        <w:rPr>
          <w:sz w:val="20"/>
          <w:szCs w:val="20"/>
          <w:color w:val="auto"/>
        </w:rPr>
      </w:pPr>
      <w:r>
        <w:rPr>
          <w:rFonts w:ascii="Arial" w:cs="Arial" w:eastAsia="Arial" w:hAnsi="Arial"/>
          <w:sz w:val="18"/>
          <w:szCs w:val="18"/>
          <w:color w:val="auto"/>
        </w:rPr>
        <w:t>MUFG UNION BANK, N.A., as a Lender</w:t>
      </w:r>
    </w:p>
    <w:p>
      <w:pPr>
        <w:spacing w:after="0" w:line="200" w:lineRule="exact"/>
        <w:rPr>
          <w:sz w:val="20"/>
          <w:szCs w:val="20"/>
          <w:color w:val="auto"/>
        </w:rPr>
      </w:pP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11430</wp:posOffset>
            </wp:positionV>
            <wp:extent cx="19532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Signature Page to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470535</wp:posOffset>
            </wp:positionV>
            <wp:extent cx="7249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21"/>
          <w:szCs w:val="21"/>
          <w:b w:val="1"/>
          <w:bCs w:val="1"/>
          <w:color w:val="auto"/>
        </w:rPr>
        <w:t>Exhibit 21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12/31/2018</w:t>
      </w:r>
    </w:p>
    <w:p>
      <w:pPr>
        <w:spacing w:after="0" w:line="206" w:lineRule="exact"/>
        <w:rPr>
          <w:sz w:val="20"/>
          <w:szCs w:val="20"/>
          <w:color w:val="auto"/>
        </w:rPr>
      </w:pPr>
    </w:p>
    <w:p>
      <w:pPr>
        <w:ind w:right="5480"/>
        <w:spacing w:after="0" w:line="255" w:lineRule="auto"/>
        <w:rPr>
          <w:sz w:val="20"/>
          <w:szCs w:val="20"/>
          <w:color w:val="auto"/>
        </w:rPr>
      </w:pPr>
      <w:r>
        <w:rPr>
          <w:rFonts w:ascii="Arial" w:cs="Arial" w:eastAsia="Arial" w:hAnsi="Arial"/>
          <w:sz w:val="18"/>
          <w:szCs w:val="18"/>
          <w:color w:val="auto"/>
        </w:rPr>
        <w:t>Compass Horizon Funding Company LLC — Delaware Limited Liability Company Horizon Credit II LLC — Delaware Limited Liability Company HSBG LLC —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414020</wp:posOffset>
            </wp:positionV>
            <wp:extent cx="7249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 AND 15d-14, AS ADOPTED PURSUANT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Robert D. Pomeroy, Jr., as Chairman of the Board and Chief Executive Officer of Horizon Technology Finance Corporation, certify that:</w:t>
      </w:r>
    </w:p>
    <w:p>
      <w:pPr>
        <w:spacing w:after="0" w:line="217" w:lineRule="exact"/>
        <w:rPr>
          <w:sz w:val="20"/>
          <w:szCs w:val="20"/>
          <w:color w:val="auto"/>
        </w:rPr>
      </w:pPr>
    </w:p>
    <w:p>
      <w:pPr>
        <w:ind w:left="500" w:hanging="176"/>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Horizon Technology Finance Corporation;</w:t>
      </w:r>
    </w:p>
    <w:p>
      <w:pPr>
        <w:spacing w:after="0" w:line="217" w:lineRule="exact"/>
        <w:rPr>
          <w:rFonts w:ascii="Arial" w:cs="Arial" w:eastAsia="Arial" w:hAnsi="Arial"/>
          <w:sz w:val="18"/>
          <w:szCs w:val="18"/>
          <w:color w:val="auto"/>
        </w:rPr>
      </w:pPr>
    </w:p>
    <w:p>
      <w:pPr>
        <w:ind w:firstLine="324"/>
        <w:spacing w:after="0" w:line="366" w:lineRule="auto"/>
        <w:tabs>
          <w:tab w:leader="none" w:pos="519" w:val="left"/>
        </w:tabs>
        <w:numPr>
          <w:ilvl w:val="0"/>
          <w:numId w:val="6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5"/>
          <w:szCs w:val="15"/>
          <w:color w:val="auto"/>
        </w:rPr>
      </w:pPr>
    </w:p>
    <w:p>
      <w:pPr>
        <w:ind w:firstLine="324"/>
        <w:spacing w:after="0" w:line="265" w:lineRule="auto"/>
        <w:tabs>
          <w:tab w:leader="none" w:pos="522"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jc w:val="both"/>
        <w:ind w:firstLine="324"/>
        <w:spacing w:after="0" w:line="255" w:lineRule="auto"/>
        <w:tabs>
          <w:tab w:leader="none" w:pos="5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firstLine="324"/>
        <w:spacing w:after="0" w:line="255" w:lineRule="auto"/>
        <w:tabs>
          <w:tab w:leader="none" w:pos="559"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firstLine="324"/>
        <w:spacing w:after="0" w:line="255" w:lineRule="auto"/>
        <w:tabs>
          <w:tab w:leader="none" w:pos="574"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firstLine="324"/>
        <w:spacing w:after="0" w:line="265" w:lineRule="auto"/>
        <w:tabs>
          <w:tab w:leader="none" w:pos="5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Arial" w:cs="Arial" w:eastAsia="Arial" w:hAnsi="Arial"/>
          <w:sz w:val="18"/>
          <w:szCs w:val="18"/>
          <w:color w:val="auto"/>
        </w:rPr>
      </w:pPr>
    </w:p>
    <w:p>
      <w:pPr>
        <w:jc w:val="both"/>
        <w:ind w:firstLine="324"/>
        <w:spacing w:after="0" w:line="255" w:lineRule="auto"/>
        <w:tabs>
          <w:tab w:leader="none" w:pos="586"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sz w:val="20"/>
          <w:szCs w:val="20"/>
          <w:color w:val="auto"/>
        </w:rPr>
      </w:pPr>
    </w:p>
    <w:p>
      <w:pPr>
        <w:ind w:firstLine="324"/>
        <w:spacing w:after="0" w:line="294" w:lineRule="auto"/>
        <w:tabs>
          <w:tab w:leader="none" w:pos="507"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sz w:val="20"/>
          <w:szCs w:val="20"/>
          <w:color w:val="auto"/>
        </w:rPr>
      </w:pPr>
    </w:p>
    <w:p>
      <w:pPr>
        <w:ind w:firstLine="324"/>
        <w:spacing w:after="0" w:line="265" w:lineRule="auto"/>
        <w:tabs>
          <w:tab w:leader="none" w:pos="563"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firstLine="324"/>
        <w:spacing w:after="0" w:line="265" w:lineRule="auto"/>
        <w:tabs>
          <w:tab w:leader="none" w:pos="582"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2019</w:t>
      </w:r>
    </w:p>
    <w:p>
      <w:pPr>
        <w:spacing w:after="0" w:line="2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D. Pomeroy, Jr.</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1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b w:val="1"/>
          <w:b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424815</wp:posOffset>
            </wp:positionV>
            <wp:extent cx="7249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 AND 15d-14, AS ADOPTED PURSUANT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0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Daniel R. Trolio, Chief Financial Officer of Horizon Technology Finance Corporation, certify that:</w:t>
      </w:r>
    </w:p>
    <w:p>
      <w:pPr>
        <w:spacing w:after="0" w:line="217" w:lineRule="exact"/>
        <w:rPr>
          <w:sz w:val="20"/>
          <w:szCs w:val="20"/>
          <w:color w:val="auto"/>
        </w:rPr>
      </w:pPr>
    </w:p>
    <w:p>
      <w:pPr>
        <w:ind w:left="500" w:hanging="176"/>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Horizon Technology Finance Corporation;</w:t>
      </w:r>
    </w:p>
    <w:p>
      <w:pPr>
        <w:spacing w:after="0" w:line="217" w:lineRule="exact"/>
        <w:rPr>
          <w:rFonts w:ascii="Arial" w:cs="Arial" w:eastAsia="Arial" w:hAnsi="Arial"/>
          <w:sz w:val="18"/>
          <w:szCs w:val="18"/>
          <w:color w:val="auto"/>
        </w:rPr>
      </w:pPr>
    </w:p>
    <w:p>
      <w:pPr>
        <w:ind w:firstLine="324"/>
        <w:spacing w:after="0" w:line="366" w:lineRule="auto"/>
        <w:tabs>
          <w:tab w:leader="none" w:pos="519" w:val="left"/>
        </w:tabs>
        <w:numPr>
          <w:ilvl w:val="0"/>
          <w:numId w:val="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5"/>
          <w:szCs w:val="15"/>
          <w:color w:val="auto"/>
        </w:rPr>
      </w:pPr>
    </w:p>
    <w:p>
      <w:pPr>
        <w:ind w:firstLine="324"/>
        <w:spacing w:after="0" w:line="265" w:lineRule="auto"/>
        <w:tabs>
          <w:tab w:leader="none" w:pos="522"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jc w:val="both"/>
        <w:ind w:firstLine="324"/>
        <w:spacing w:after="0" w:line="255" w:lineRule="auto"/>
        <w:tabs>
          <w:tab w:leader="none" w:pos="5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firstLine="324"/>
        <w:spacing w:after="0" w:line="255" w:lineRule="auto"/>
        <w:tabs>
          <w:tab w:leader="none" w:pos="559"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firstLine="324"/>
        <w:spacing w:after="0" w:line="255" w:lineRule="auto"/>
        <w:tabs>
          <w:tab w:leader="none" w:pos="574"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firstLine="324"/>
        <w:spacing w:after="0" w:line="265" w:lineRule="auto"/>
        <w:tabs>
          <w:tab w:leader="none" w:pos="567" w:val="left"/>
        </w:tabs>
        <w:numPr>
          <w:ilvl w:val="0"/>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Arial" w:cs="Arial" w:eastAsia="Arial" w:hAnsi="Arial"/>
          <w:sz w:val="18"/>
          <w:szCs w:val="18"/>
          <w:color w:val="auto"/>
        </w:rPr>
      </w:pPr>
    </w:p>
    <w:p>
      <w:pPr>
        <w:jc w:val="both"/>
        <w:ind w:firstLine="324"/>
        <w:spacing w:after="0" w:line="255" w:lineRule="auto"/>
        <w:tabs>
          <w:tab w:leader="none" w:pos="586"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sz w:val="20"/>
          <w:szCs w:val="20"/>
          <w:color w:val="auto"/>
        </w:rPr>
      </w:pPr>
    </w:p>
    <w:p>
      <w:pPr>
        <w:ind w:firstLine="324"/>
        <w:spacing w:after="0" w:line="294" w:lineRule="auto"/>
        <w:tabs>
          <w:tab w:leader="none" w:pos="507"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sz w:val="20"/>
          <w:szCs w:val="20"/>
          <w:color w:val="auto"/>
        </w:rPr>
      </w:pPr>
    </w:p>
    <w:p>
      <w:pPr>
        <w:ind w:firstLine="324"/>
        <w:spacing w:after="0" w:line="265" w:lineRule="auto"/>
        <w:tabs>
          <w:tab w:leader="none" w:pos="56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firstLine="324"/>
        <w:spacing w:after="0" w:line="265" w:lineRule="auto"/>
        <w:tabs>
          <w:tab w:leader="none" w:pos="582"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2019</w:t>
      </w:r>
    </w:p>
    <w:p>
      <w:pPr>
        <w:spacing w:after="0" w:line="2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R. Trolio</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325818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32581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433070</wp:posOffset>
            </wp:positionV>
            <wp:extent cx="7249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Annual Report on Form 10-K of Horizon Technology Finance Corporation (the “Company”) for the annual period ended December 31, 2018 as filed with the Securities and Exchange Commission on the date hereof (the “Report”), I, Robert D. Pomeroy, Jr., as Chairman of the Board and Chief Executive Officer of the Company hereby certify, to the best of my knowledge that:</w:t>
      </w:r>
    </w:p>
    <w:p>
      <w:pPr>
        <w:spacing w:after="0" w:line="189" w:lineRule="exact"/>
        <w:rPr>
          <w:sz w:val="20"/>
          <w:szCs w:val="20"/>
          <w:color w:val="auto"/>
        </w:rPr>
      </w:pPr>
    </w:p>
    <w:p>
      <w:pPr>
        <w:ind w:left="460" w:hanging="251"/>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17" w:lineRule="exact"/>
        <w:rPr>
          <w:rFonts w:ascii="Arial" w:cs="Arial" w:eastAsia="Arial" w:hAnsi="Arial"/>
          <w:sz w:val="18"/>
          <w:szCs w:val="18"/>
          <w:color w:val="auto"/>
        </w:rPr>
      </w:pPr>
    </w:p>
    <w:p>
      <w:pPr>
        <w:ind w:left="460" w:hanging="251"/>
        <w:spacing w:after="0"/>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Robert D. Pomeroy, Jr.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Robert D. Pomeroy,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36290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3629025"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 and</w:t>
      </w:r>
    </w:p>
    <w:p>
      <w:pPr>
        <w:spacing w:after="0" w:line="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Chairman of the Board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431800</wp:posOffset>
            </wp:positionV>
            <wp:extent cx="7249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Annual Report on Form 10-K of Horizon Technology Finance Corporation (the “Company”) for the annual period ended December 31, 2018 as filed with the Securities and Exchange Commission on the date hereof (the “Report”), I, Daniel R. Trolio, as Chief Financial Officer of the Company hereby certify, to the best of my knowledge that:</w:t>
      </w:r>
    </w:p>
    <w:p>
      <w:pPr>
        <w:spacing w:after="0" w:line="189" w:lineRule="exact"/>
        <w:rPr>
          <w:sz w:val="20"/>
          <w:szCs w:val="20"/>
          <w:color w:val="auto"/>
        </w:rPr>
      </w:pPr>
    </w:p>
    <w:p>
      <w:pPr>
        <w:ind w:left="460" w:hanging="251"/>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17" w:lineRule="exact"/>
        <w:rPr>
          <w:rFonts w:ascii="Arial" w:cs="Arial" w:eastAsia="Arial" w:hAnsi="Arial"/>
          <w:sz w:val="18"/>
          <w:szCs w:val="18"/>
          <w:color w:val="auto"/>
        </w:rPr>
      </w:pPr>
    </w:p>
    <w:p>
      <w:pPr>
        <w:ind w:left="460" w:hanging="251"/>
        <w:spacing w:after="0"/>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Daniel R. Trolio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36290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3629025" cy="8255"/>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431800</wp:posOffset>
            </wp:positionV>
            <wp:extent cx="7249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þ"/>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1)"/>
      <w:numFmt w:val="decimal"/>
      <w:start w:val="2"/>
    </w:lvl>
  </w:abstractNum>
  <w:abstractNum w:abstractNumId="4">
    <w:nsid w:val="3855585C"/>
    <w:multiLevelType w:val="hybridMultilevel"/>
    <w:lvl w:ilvl="0">
      <w:lvlJc w:val="left"/>
      <w:lvlText w:val="(%1)"/>
      <w:numFmt w:val="lowerRoman"/>
      <w:start w:val="1"/>
    </w:lvl>
  </w:abstractNum>
  <w:abstractNum w:abstractNumId="5">
    <w:nsid w:val="70A64E2A"/>
    <w:multiLevelType w:val="hybridMultilevel"/>
    <w:lvl w:ilvl="0">
      <w:lvlJc w:val="left"/>
      <w:lvlText w:val="(%1)"/>
      <w:numFmt w:val="lowerRoman"/>
      <w:start w:val="3"/>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4"/>
      <w:numFmt w:val="bullet"/>
      <w:start w:val="1"/>
    </w:lvl>
  </w:abstractNum>
  <w:abstractNum w:abstractNumId="11">
    <w:nsid w:val="57E4CCAF"/>
    <w:multiLevelType w:val="hybridMultilevel"/>
    <w:lvl w:ilvl="0">
      <w:lvlJc w:val="left"/>
      <w:lvlText w:val="3"/>
      <w:numFmt w:val="bullet"/>
      <w:start w:val="1"/>
    </w:lvl>
  </w:abstractNum>
  <w:abstractNum w:abstractNumId="12">
    <w:nsid w:val="7A6D8D3C"/>
    <w:multiLevelType w:val="hybridMultilevel"/>
    <w:lvl w:ilvl="0">
      <w:lvlJc w:val="left"/>
      <w:lvlText w:val="2"/>
      <w:numFmt w:val="bullet"/>
      <w:start w:val="1"/>
    </w:lvl>
  </w:abstractNum>
  <w:abstractNum w:abstractNumId="13">
    <w:nsid w:val="4B588F54"/>
    <w:multiLevelType w:val="hybridMultilevel"/>
    <w:lvl w:ilvl="0">
      <w:lvlJc w:val="left"/>
      <w:lvlText w:val="1"/>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1)"/>
      <w:numFmt w:val="lowerRoman"/>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1)"/>
      <w:numFmt w:val="decimal"/>
      <w:start w:val="1"/>
    </w:lvl>
  </w:abstractNum>
  <w:abstractNum w:abstractNumId="19">
    <w:nsid w:val="684A481A"/>
    <w:multiLevelType w:val="hybridMultilevel"/>
    <w:lvl w:ilvl="0">
      <w:lvlJc w:val="left"/>
      <w:lvlText w:val="(%1)"/>
      <w:numFmt w:val="decimal"/>
      <w:start w:val="1"/>
    </w:lvl>
  </w:abstractNum>
  <w:abstractNum w:abstractNumId="20">
    <w:nsid w:val="579478FE"/>
    <w:multiLevelType w:val="hybridMultilevel"/>
    <w:lvl w:ilvl="0">
      <w:lvlJc w:val="left"/>
      <w:lvlText w:val="(%1)"/>
      <w:numFmt w:val="decimal"/>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1)"/>
      <w:numFmt w:val="lowerLetter"/>
      <w:start w:val="5"/>
    </w:lvl>
  </w:abstractNum>
  <w:abstractNum w:abstractNumId="24">
    <w:nsid w:val="79A1DEA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lvl w:ilvl="1">
      <w:lvlJc w:val="left"/>
      <w:lvlText w:val="•"/>
      <w:numFmt w:val="bullet"/>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1)"/>
      <w:numFmt w:val="decimal"/>
      <w:start w:val="4"/>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1)"/>
      <w:numFmt w:val="decimal"/>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1)"/>
      <w:numFmt w:val="decimal"/>
      <w:start w:val="1"/>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1)"/>
      <w:numFmt w:val="decimal"/>
      <w:start w:val="1"/>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1)"/>
      <w:numFmt w:val="decimal"/>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1)"/>
      <w:numFmt w:val="decimal"/>
      <w:start w:val="1"/>
    </w:lvl>
  </w:abstractNum>
  <w:abstractNum w:abstractNumId="61">
    <w:nsid w:val="5F5E7FD0"/>
    <w:multiLevelType w:val="hybridMultilevel"/>
    <w:lvl w:ilvl="0">
      <w:lvlJc w:val="left"/>
      <w:lvlText w:val="(%1)"/>
      <w:numFmt w:val="decimal"/>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lowerLetter"/>
      <w:start w:val="1"/>
    </w:lvl>
  </w:abstractNum>
  <w:abstractNum w:abstractNumId="65">
    <w:nsid w:val="42C296BD"/>
    <w:multiLevelType w:val="hybridMultilevel"/>
    <w:lvl w:ilvl="0">
      <w:lvlJc w:val="left"/>
      <w:lvlText w:val="(%1)"/>
      <w:numFmt w:val="lowerLetter"/>
      <w:start w:val="1"/>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decimal"/>
      <w:start w:val="1"/>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decimal"/>
      <w:start w:val="5"/>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decimal"/>
      <w:start w:val="1"/>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decimal"/>
      <w:start w:val="5"/>
    </w:lvl>
  </w:abstractNum>
  <w:abstractNum w:abstractNumId="75">
    <w:nsid w:val="11447B73"/>
    <w:multiLevelType w:val="hybridMultilevel"/>
    <w:lvl w:ilvl="0">
      <w:lvlJc w:val="left"/>
      <w:lvlText w:val="(%1)"/>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00" Type="http://schemas.openxmlformats.org/officeDocument/2006/relationships/hyperlink" Target="http://www.sec.gov/Archives/edgar/data/1487428/000095012310063397/w77247a2exv99wa.htm" TargetMode="External"/><Relationship Id="rId201" Type="http://schemas.openxmlformats.org/officeDocument/2006/relationships/hyperlink" Target="http://www.sec.gov/Archives/edgar/data/1487428/000095012310063397/w77247a2exv99wb.htm" TargetMode="External"/><Relationship Id="rId202" Type="http://schemas.openxmlformats.org/officeDocument/2006/relationships/hyperlink" Target="http://www.sec.gov/Archives/edgar/data/1487428/000095012310066279/w77247a3exv99wd.htm" TargetMode="External"/><Relationship Id="rId203" Type="http://schemas.openxmlformats.org/officeDocument/2006/relationships/hyperlink" Target="http://www.sec.gov/Archives/edgar/data/1487428/000095012312005103/j93447exexv99wdw7.htm" TargetMode="External"/><Relationship Id="rId204" Type="http://schemas.openxmlformats.org/officeDocument/2006/relationships/hyperlink" Target="http://www.sec.gov/Archives/edgar/data/1487428/000114420417050608/v476183_ex99-d12.htm" TargetMode="External"/><Relationship Id="rId205" Type="http://schemas.openxmlformats.org/officeDocument/2006/relationships/hyperlink" Target="http://www.sec.gov/Archives/edgar/data/1487428/000114420414047130/v385779_ex10-1.htm" TargetMode="External"/><Relationship Id="rId206" Type="http://schemas.openxmlformats.org/officeDocument/2006/relationships/hyperlink" Target="http://www.sec.gov/Archives/edgar/data/1487428/000095012310066279/w77247a3exv99wj.htm" TargetMode="External"/><Relationship Id="rId207" Type="http://schemas.openxmlformats.org/officeDocument/2006/relationships/hyperlink" Target="http://www.sec.gov/Archives/edgar/data/1487428/000095012310063397/w77247a2exv99wkw1.htm" TargetMode="External"/><Relationship Id="rId208" Type="http://schemas.openxmlformats.org/officeDocument/2006/relationships/hyperlink" Target="http://www.sec.gov/Archives/edgar/data/1487428/000095012310063397/w77247a2exv99wkw2.htm" TargetMode="External"/><Relationship Id="rId209" Type="http://schemas.openxmlformats.org/officeDocument/2006/relationships/hyperlink" Target="http://www.sec.gov/Archives/edgar/data/1487428/000095012310063397/w77247a2exv99we.htm" TargetMode="External"/><Relationship Id="rId210" Type="http://schemas.openxmlformats.org/officeDocument/2006/relationships/hyperlink" Target="http://www.sec.gov/Archives/edgar/data/1487428/000114420414014841/v370511_ex10-14.htm" TargetMode="External"/><Relationship Id="rId211" Type="http://schemas.openxmlformats.org/officeDocument/2006/relationships/hyperlink" Target="http://www.sec.gov/Archives/edgar/data/1487428/000114420415050764/v418498_ex99k-13.htm" TargetMode="External"/><Relationship Id="rId212" Type="http://schemas.openxmlformats.org/officeDocument/2006/relationships/hyperlink" Target="http://www.sec.gov/Archives/edgar/data/1487428/000114420414014841/v370511_ex10-15.htm" TargetMode="External"/><Relationship Id="rId213" Type="http://schemas.openxmlformats.org/officeDocument/2006/relationships/hyperlink" Target="http://www.sec.gov/Archives/edgar/data/1487428/000114420414014841/v370511_ex10-16.htm" TargetMode="External"/><Relationship Id="rId214" Type="http://schemas.openxmlformats.org/officeDocument/2006/relationships/hyperlink" Target="http://www.sec.gov/Archives/edgar/data/1487428/000114420416107826/v441949_ex99k11.htm" TargetMode="External"/><Relationship Id="rId215" Type="http://schemas.openxmlformats.org/officeDocument/2006/relationships/hyperlink" Target="http://www.sec.gov/Archives/edgar/data/1487428/000114420418024470/tv492650_ex10-1.htm" TargetMode="External"/><Relationship Id="rId216" Type="http://schemas.openxmlformats.org/officeDocument/2006/relationships/hyperlink" Target="http://www.sec.gov/Archives/edgar/data/1487428/000157104918000355/tv494550_ex99k9.htm" TargetMode="External"/><Relationship Id="rId217" Type="http://schemas.openxmlformats.org/officeDocument/2006/relationships/hyperlink" Target="http://www.sec.gov/Archives/edgar/data/1487428/000114420417013262/v461244_ex14-1.htm" TargetMode="External"/><Relationship Id="rId218" Type="http://schemas.openxmlformats.org/officeDocument/2006/relationships/hyperlink" Target="http://www.sec.gov/Archives/edgar/data/1487428/000095012311025839/w82020exv99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2019-12-28T15:23:41Z</dcterms:created>
  <dcterms:modified xsi:type="dcterms:W3CDTF">2019-12-28T15:23:41Z</dcterms:modified>
</cp:coreProperties>
</file>