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right="230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40"/>
        <w:spacing w:after="0"/>
        <w:tabs>
          <w:tab w:leader="none" w:pos="4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814-00802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HORIZON TECHNOLOGY FINANCE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8"/>
              </w:rPr>
              <w:t>DELAWARE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jc w:val="right"/>
              <w:ind w:right="430"/>
              <w:spacing w:after="0"/>
              <w:rPr>
                <w:sz w:val="20"/>
                <w:szCs w:val="20"/>
                <w:color w:val="auto"/>
              </w:rPr>
            </w:pPr>
            <w:r>
              <w:rPr>
                <w:rFonts w:ascii="Arial" w:cs="Arial" w:eastAsia="Arial" w:hAnsi="Arial"/>
                <w:sz w:val="18"/>
                <w:szCs w:val="18"/>
                <w:b w:val="1"/>
                <w:bCs w:val="1"/>
                <w:color w:val="auto"/>
              </w:rPr>
              <w:t>27-2114934</w:t>
            </w:r>
          </w:p>
        </w:tc>
        <w:tc>
          <w:tcPr>
            <w:tcW w:w="1900" w:type="dxa"/>
            <w:vAlign w:val="bottom"/>
          </w:tcPr>
          <w:p>
            <w:pPr>
              <w:spacing w:after="0"/>
              <w:rPr>
                <w:sz w:val="19"/>
                <w:szCs w:val="19"/>
                <w:color w:val="auto"/>
              </w:rPr>
            </w:pPr>
          </w:p>
        </w:tc>
      </w:tr>
      <w:tr>
        <w:trPr>
          <w:trHeight w:val="216"/>
        </w:trPr>
        <w:tc>
          <w:tcPr>
            <w:tcW w:w="4700" w:type="dxa"/>
            <w:vAlign w:val="bottom"/>
            <w:gridSpan w:val="2"/>
          </w:tcPr>
          <w:p>
            <w:pPr>
              <w:jc w:val="center"/>
              <w:ind w:left="930"/>
              <w:spacing w:after="0"/>
              <w:rPr>
                <w:sz w:val="20"/>
                <w:szCs w:val="20"/>
                <w:color w:val="auto"/>
              </w:rPr>
            </w:pPr>
            <w:r>
              <w:rPr>
                <w:rFonts w:ascii="Arial" w:cs="Arial" w:eastAsia="Arial" w:hAnsi="Arial"/>
                <w:sz w:val="18"/>
                <w:szCs w:val="18"/>
                <w:i w:val="1"/>
                <w:iCs w:val="1"/>
                <w:color w:val="auto"/>
                <w:w w:val="94"/>
              </w:rPr>
              <w:t>(State or other jurisdiction of</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ind w:left="570"/>
              <w:spacing w:after="0"/>
              <w:rPr>
                <w:sz w:val="20"/>
                <w:szCs w:val="20"/>
                <w:color w:val="auto"/>
              </w:rPr>
            </w:pPr>
            <w:r>
              <w:rPr>
                <w:rFonts w:ascii="Arial" w:cs="Arial" w:eastAsia="Arial" w:hAnsi="Arial"/>
                <w:sz w:val="18"/>
                <w:szCs w:val="18"/>
                <w:i w:val="1"/>
                <w:iCs w:val="1"/>
                <w:color w:val="auto"/>
                <w:w w:val="90"/>
              </w:rPr>
              <w:t>(I.R.S. Employer</w:t>
            </w:r>
          </w:p>
        </w:tc>
        <w:tc>
          <w:tcPr>
            <w:tcW w:w="1900" w:type="dxa"/>
            <w:vAlign w:val="bottom"/>
          </w:tcPr>
          <w:p>
            <w:pPr>
              <w:spacing w:after="0"/>
              <w:rPr>
                <w:sz w:val="18"/>
                <w:szCs w:val="18"/>
                <w:color w:val="auto"/>
              </w:rPr>
            </w:pPr>
          </w:p>
        </w:tc>
      </w:tr>
      <w:tr>
        <w:trPr>
          <w:trHeight w:val="230"/>
        </w:trPr>
        <w:tc>
          <w:tcPr>
            <w:tcW w:w="4700" w:type="dxa"/>
            <w:vAlign w:val="bottom"/>
            <w:gridSpan w:val="2"/>
          </w:tcPr>
          <w:p>
            <w:pPr>
              <w:jc w:val="center"/>
              <w:ind w:left="950"/>
              <w:spacing w:after="0"/>
              <w:rPr>
                <w:sz w:val="20"/>
                <w:szCs w:val="20"/>
                <w:color w:val="auto"/>
              </w:rPr>
            </w:pPr>
            <w:r>
              <w:rPr>
                <w:rFonts w:ascii="Arial" w:cs="Arial" w:eastAsia="Arial" w:hAnsi="Arial"/>
                <w:sz w:val="18"/>
                <w:szCs w:val="18"/>
                <w:i w:val="1"/>
                <w:iCs w:val="1"/>
                <w:color w:val="auto"/>
                <w:w w:val="94"/>
              </w:rPr>
              <w:t>incorporation or organization)</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center"/>
              <w:ind w:left="550"/>
              <w:spacing w:after="0"/>
              <w:rPr>
                <w:sz w:val="20"/>
                <w:szCs w:val="20"/>
                <w:color w:val="auto"/>
              </w:rPr>
            </w:pPr>
            <w:r>
              <w:rPr>
                <w:rFonts w:ascii="Arial" w:cs="Arial" w:eastAsia="Arial" w:hAnsi="Arial"/>
                <w:sz w:val="18"/>
                <w:szCs w:val="18"/>
                <w:i w:val="1"/>
                <w:iCs w:val="1"/>
                <w:color w:val="auto"/>
                <w:w w:val="95"/>
              </w:rPr>
              <w:t>Identification No.)</w:t>
            </w:r>
          </w:p>
        </w:tc>
        <w:tc>
          <w:tcPr>
            <w:tcW w:w="1900" w:type="dxa"/>
            <w:vAlign w:val="bottom"/>
          </w:tcPr>
          <w:p>
            <w:pPr>
              <w:spacing w:after="0"/>
              <w:rPr>
                <w:sz w:val="20"/>
                <w:szCs w:val="20"/>
                <w:color w:val="auto"/>
              </w:rPr>
            </w:pPr>
          </w:p>
        </w:tc>
      </w:tr>
      <w:tr>
        <w:trPr>
          <w:trHeight w:val="414"/>
        </w:trPr>
        <w:tc>
          <w:tcPr>
            <w:tcW w:w="47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0"/>
              </w:rPr>
              <w:t>312 Farmington Avenue,</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0"/>
        </w:trPr>
        <w:tc>
          <w:tcPr>
            <w:tcW w:w="47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4"/>
              </w:rPr>
              <w:t>Farmington, CT</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jc w:val="right"/>
              <w:ind w:right="630"/>
              <w:spacing w:after="0"/>
              <w:rPr>
                <w:sz w:val="20"/>
                <w:szCs w:val="20"/>
                <w:color w:val="auto"/>
              </w:rPr>
            </w:pPr>
            <w:r>
              <w:rPr>
                <w:rFonts w:ascii="Arial" w:cs="Arial" w:eastAsia="Arial" w:hAnsi="Arial"/>
                <w:sz w:val="18"/>
                <w:szCs w:val="18"/>
                <w:b w:val="1"/>
                <w:bCs w:val="1"/>
                <w:color w:val="auto"/>
              </w:rPr>
              <w:t>06032</w:t>
            </w:r>
          </w:p>
        </w:tc>
        <w:tc>
          <w:tcPr>
            <w:tcW w:w="1900" w:type="dxa"/>
            <w:vAlign w:val="bottom"/>
          </w:tcPr>
          <w:p>
            <w:pPr>
              <w:spacing w:after="0"/>
              <w:rPr>
                <w:sz w:val="19"/>
                <w:szCs w:val="19"/>
                <w:color w:val="auto"/>
              </w:rPr>
            </w:pPr>
          </w:p>
        </w:tc>
      </w:tr>
      <w:tr>
        <w:trPr>
          <w:trHeight w:val="230"/>
        </w:trPr>
        <w:tc>
          <w:tcPr>
            <w:tcW w:w="4700" w:type="dxa"/>
            <w:vAlign w:val="bottom"/>
            <w:gridSpan w:val="2"/>
          </w:tcPr>
          <w:p>
            <w:pPr>
              <w:jc w:val="center"/>
              <w:ind w:left="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center"/>
              <w:ind w:left="550"/>
              <w:spacing w:after="0"/>
              <w:rPr>
                <w:sz w:val="20"/>
                <w:szCs w:val="20"/>
                <w:color w:val="auto"/>
              </w:rPr>
            </w:pPr>
            <w:r>
              <w:rPr>
                <w:rFonts w:ascii="Arial" w:cs="Arial" w:eastAsia="Arial" w:hAnsi="Arial"/>
                <w:sz w:val="18"/>
                <w:szCs w:val="18"/>
                <w:i w:val="1"/>
                <w:iCs w:val="1"/>
                <w:color w:val="auto"/>
                <w:w w:val="91"/>
              </w:rPr>
              <w:t>(Zip Code)</w:t>
            </w:r>
          </w:p>
        </w:tc>
        <w:tc>
          <w:tcPr>
            <w:tcW w:w="1900" w:type="dxa"/>
            <w:vAlign w:val="bottom"/>
          </w:tcPr>
          <w:p>
            <w:pPr>
              <w:spacing w:after="0"/>
              <w:rPr>
                <w:sz w:val="20"/>
                <w:szCs w:val="20"/>
                <w:color w:val="auto"/>
              </w:rPr>
            </w:pPr>
          </w:p>
        </w:tc>
      </w:tr>
      <w:tr>
        <w:trPr>
          <w:trHeight w:val="432"/>
        </w:trPr>
        <w:tc>
          <w:tcPr>
            <w:tcW w:w="9520" w:type="dxa"/>
            <w:vAlign w:val="bottom"/>
            <w:gridSpan w:val="5"/>
          </w:tcPr>
          <w:p>
            <w:pPr>
              <w:jc w:val="center"/>
              <w:ind w:left="1830"/>
              <w:spacing w:after="0"/>
              <w:rPr>
                <w:sz w:val="20"/>
                <w:szCs w:val="20"/>
                <w:color w:val="auto"/>
              </w:rPr>
            </w:pPr>
            <w:r>
              <w:rPr>
                <w:rFonts w:ascii="Arial" w:cs="Arial" w:eastAsia="Arial" w:hAnsi="Arial"/>
                <w:sz w:val="18"/>
                <w:szCs w:val="18"/>
                <w:b w:val="1"/>
                <w:bCs w:val="1"/>
                <w:color w:val="auto"/>
                <w:w w:val="89"/>
              </w:rPr>
              <w:t>Registrant’s telephone number, including area code (860) 676-8654</w:t>
            </w:r>
          </w:p>
        </w:tc>
        <w:tc>
          <w:tcPr>
            <w:tcW w:w="1900" w:type="dxa"/>
            <w:vAlign w:val="bottom"/>
          </w:tcPr>
          <w:p>
            <w:pPr>
              <w:spacing w:after="0"/>
              <w:rPr>
                <w:sz w:val="24"/>
                <w:szCs w:val="24"/>
                <w:color w:val="auto"/>
              </w:rPr>
            </w:pPr>
          </w:p>
        </w:tc>
      </w:tr>
      <w:tr>
        <w:trPr>
          <w:trHeight w:val="432"/>
        </w:trPr>
        <w:tc>
          <w:tcPr>
            <w:tcW w:w="9520" w:type="dxa"/>
            <w:vAlign w:val="bottom"/>
            <w:gridSpan w:val="5"/>
          </w:tcPr>
          <w:p>
            <w:pPr>
              <w:jc w:val="center"/>
              <w:ind w:left="18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900" w:type="dxa"/>
            <w:vAlign w:val="bottom"/>
          </w:tcPr>
          <w:p>
            <w:pPr>
              <w:spacing w:after="0"/>
              <w:rPr>
                <w:sz w:val="24"/>
                <w:szCs w:val="24"/>
                <w:color w:val="auto"/>
              </w:rPr>
            </w:pPr>
          </w:p>
        </w:tc>
      </w:tr>
      <w:tr>
        <w:trPr>
          <w:trHeight w:val="432"/>
        </w:trPr>
        <w:tc>
          <w:tcPr>
            <w:tcW w:w="4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Ticker symbol(s)</w:t>
            </w:r>
          </w:p>
        </w:tc>
        <w:tc>
          <w:tcPr>
            <w:tcW w:w="4440" w:type="dxa"/>
            <w:vAlign w:val="bottom"/>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4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16"/>
                <w:szCs w:val="16"/>
                <w:color w:val="auto"/>
              </w:rPr>
            </w:pPr>
          </w:p>
        </w:tc>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HRZN</w:t>
            </w:r>
          </w:p>
        </w:tc>
        <w:tc>
          <w:tcPr>
            <w:tcW w:w="220" w:type="dxa"/>
            <w:vAlign w:val="bottom"/>
          </w:tcPr>
          <w:p>
            <w:pPr>
              <w:spacing w:after="0"/>
              <w:rPr>
                <w:sz w:val="16"/>
                <w:szCs w:val="16"/>
                <w:color w:val="auto"/>
              </w:rPr>
            </w:pPr>
          </w:p>
        </w:tc>
        <w:tc>
          <w:tcPr>
            <w:tcW w:w="44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6.25% Notes due 2022</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HTFA</w:t>
            </w:r>
          </w:p>
        </w:tc>
        <w:tc>
          <w:tcPr>
            <w:tcW w:w="4440" w:type="dxa"/>
            <w:vAlign w:val="bottom"/>
            <w:gridSpan w:val="2"/>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414"/>
        </w:trPr>
        <w:tc>
          <w:tcPr>
            <w:tcW w:w="9520" w:type="dxa"/>
            <w:vAlign w:val="bottom"/>
            <w:gridSpan w:val="5"/>
          </w:tcPr>
          <w:p>
            <w:pPr>
              <w:jc w:val="center"/>
              <w:ind w:left="18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900" w:type="dxa"/>
            <w:vAlign w:val="bottom"/>
          </w:tcPr>
          <w:p>
            <w:pPr>
              <w:spacing w:after="0"/>
              <w:rPr>
                <w:sz w:val="24"/>
                <w:szCs w:val="24"/>
                <w:color w:val="auto"/>
              </w:rPr>
            </w:pP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None</w:t>
            </w:r>
          </w:p>
        </w:tc>
        <w:tc>
          <w:tcPr>
            <w:tcW w:w="25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2"/>
        </w:trPr>
        <w:tc>
          <w:tcPr>
            <w:tcW w:w="9520" w:type="dxa"/>
            <w:vAlign w:val="bottom"/>
            <w:gridSpan w:val="5"/>
          </w:tcPr>
          <w:p>
            <w:pPr>
              <w:ind w:left="3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9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432"/>
        </w:trPr>
        <w:tc>
          <w:tcPr>
            <w:tcW w:w="9520" w:type="dxa"/>
            <w:vAlign w:val="bottom"/>
            <w:gridSpan w:val="5"/>
          </w:tcPr>
          <w:p>
            <w:pPr>
              <w:ind w:left="3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90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bl>
    <w:p>
      <w:pPr>
        <w:spacing w:after="0" w:line="18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720" w:right="239" w:bottom="110" w:gutter="0" w:footer="0" w:header="0"/>
        </w:sectPr>
      </w:pPr>
    </w:p>
    <w:p>
      <w:pPr>
        <w:spacing w:after="0" w:line="149"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2540" w:space="720"/>
            <w:col w:w="2020" w:space="720"/>
            <w:col w:w="2200" w:space="720"/>
            <w:col w:w="2500"/>
          </w:cols>
          <w:pgMar w:left="240" w:top="720" w:right="239" w:bottom="110" w:gutter="0" w:footer="0" w:header="0"/>
          <w:type w:val="continuous"/>
        </w:sectPr>
      </w:pPr>
    </w:p>
    <w:p>
      <w:pPr>
        <w:ind w:left="3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20" w:right="239" w:bottom="110" w:gutter="0" w:footer="0" w:header="0"/>
          <w:type w:val="continuous"/>
        </w:sectPr>
      </w:pPr>
    </w:p>
    <w:p>
      <w:pPr>
        <w:spacing w:after="0" w:line="214"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196" w:lineRule="exact"/>
        <w:tabs>
          <w:tab w:leader="none" w:pos="92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69" w:lineRule="exact"/>
        <w:rPr>
          <w:sz w:val="24"/>
          <w:szCs w:val="24"/>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market value of common stock held by non-affiliates of the Registrant on June 28, 2019 based on the closing price on that date of $11.80 on the Nasdaq Global Select Market was $157.3 million. For the purposes of calculating this amount only, all directors and executive officers of the Registrant have been treated as affiliates. There were 16,764,191 shares of the Registrant’s common stock outstanding as of February 28, 2020.</w:t>
      </w:r>
    </w:p>
    <w:p>
      <w:pPr>
        <w:spacing w:after="0" w:line="16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Documents Incorporated by Reference: Portions of the Registrant’s Proxy Statement relating to the Registrant’s 2020 Annual Meeting of Stockholders to be filed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20" w:right="239" w:bottom="11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18"/>
          </w:tcPr>
          <w:p>
            <w:pPr>
              <w:jc w:val="center"/>
              <w:ind w:right="2060"/>
              <w:spacing w:after="0"/>
              <w:rPr>
                <w:sz w:val="20"/>
                <w:szCs w:val="20"/>
                <w:color w:val="auto"/>
              </w:rPr>
            </w:pPr>
            <w:r>
              <w:rPr>
                <w:rFonts w:ascii="Arial" w:cs="Arial" w:eastAsia="Arial" w:hAnsi="Arial"/>
                <w:sz w:val="18"/>
                <w:szCs w:val="18"/>
                <w:b w:val="1"/>
                <w:bCs w:val="1"/>
                <w:color w:val="auto"/>
              </w:rPr>
              <w:t>HORIZON TECHNOLOGY FINANCE CORPORATION</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13"/>
          </w:tcPr>
          <w:p>
            <w:pPr>
              <w:jc w:val="center"/>
              <w:ind w:right="4360"/>
              <w:spacing w:after="0"/>
              <w:rPr>
                <w:sz w:val="20"/>
                <w:szCs w:val="20"/>
                <w:color w:val="auto"/>
              </w:rPr>
            </w:pPr>
            <w:r>
              <w:rPr>
                <w:rFonts w:ascii="Arial" w:cs="Arial" w:eastAsia="Arial" w:hAnsi="Arial"/>
                <w:sz w:val="18"/>
                <w:szCs w:val="18"/>
                <w:b w:val="1"/>
                <w:bCs w:val="1"/>
                <w:color w:val="auto"/>
              </w:rPr>
              <w:t>FORM 10-K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40" w:type="dxa"/>
            <w:vAlign w:val="bottom"/>
            <w:gridSpan w:val="16"/>
          </w:tcPr>
          <w:p>
            <w:pPr>
              <w:jc w:val="center"/>
              <w:ind w:right="288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16"/>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gridSpan w:val="5"/>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CCEEFF"/>
            </w:tcBorders>
            <w:gridSpan w:val="10"/>
            <w:shd w:val="clear" w:color="auto" w:fill="CCEEFF"/>
          </w:tcPr>
          <w:p>
            <w:pPr>
              <w:jc w:val="center"/>
              <w:ind w:right="4580"/>
              <w:spacing w:after="0" w:line="170"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580" w:type="dxa"/>
            <w:vAlign w:val="bottom"/>
            <w:tcBorders>
              <w:top w:val="single" w:sz="8" w:color="CCEEFF"/>
            </w:tcBorders>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5"/>
                <w:szCs w:val="15"/>
                <w:color w:val="auto"/>
              </w:rPr>
            </w:pPr>
          </w:p>
        </w:tc>
        <w:tc>
          <w:tcPr>
            <w:tcW w:w="4580" w:type="dxa"/>
            <w:vAlign w:val="bottom"/>
            <w:tcBorders>
              <w:top w:val="single" w:sz="8" w:color="CCEEFF"/>
            </w:tcBorders>
            <w:gridSpan w:val="9"/>
          </w:tcPr>
          <w:p>
            <w:pPr>
              <w:spacing w:after="0"/>
              <w:rPr>
                <w:sz w:val="15"/>
                <w:szCs w:val="15"/>
                <w:color w:val="auto"/>
              </w:rPr>
            </w:pPr>
          </w:p>
        </w:tc>
        <w:tc>
          <w:tcPr>
            <w:tcW w:w="840" w:type="dxa"/>
            <w:vAlign w:val="bottom"/>
            <w:tcBorders>
              <w:top w:val="single" w:sz="8" w:color="CCEEFF"/>
            </w:tcBorders>
            <w:gridSpan w:val="4"/>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Item 1B.</w:t>
              </w:r>
            </w:hyperlink>
          </w:p>
        </w:tc>
        <w:tc>
          <w:tcPr>
            <w:tcW w:w="200" w:type="dxa"/>
            <w:vAlign w:val="bottom"/>
          </w:tcPr>
          <w:p>
            <w:pPr>
              <w:spacing w:after="0"/>
              <w:rPr>
                <w:sz w:val="15"/>
                <w:szCs w:val="15"/>
                <w:color w:val="auto"/>
              </w:rPr>
            </w:pPr>
          </w:p>
        </w:tc>
        <w:tc>
          <w:tcPr>
            <w:tcW w:w="9740" w:type="dxa"/>
            <w:vAlign w:val="bottom"/>
            <w:gridSpan w:val="28"/>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Unresolved Staff Comments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2.</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Properties</w:t>
              </w:r>
            </w:hyperlink>
          </w:p>
        </w:tc>
        <w:tc>
          <w:tcPr>
            <w:tcW w:w="9000" w:type="dxa"/>
            <w:vAlign w:val="bottom"/>
            <w:tcBorders>
              <w:bottom w:val="single" w:sz="8" w:color="CCEEFF"/>
            </w:tcBorders>
            <w:gridSpan w:val="26"/>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3.</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4.</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4540" w:type="dxa"/>
            <w:vAlign w:val="bottom"/>
            <w:tcBorders>
              <w:bottom w:val="single" w:sz="8" w:color="CCEEFF"/>
            </w:tcBorders>
            <w:gridSpan w:val="8"/>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5.</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6.</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Selected Financial Data</w:t>
              </w:r>
            </w:hyperlink>
          </w:p>
        </w:tc>
        <w:tc>
          <w:tcPr>
            <w:tcW w:w="8020" w:type="dxa"/>
            <w:vAlign w:val="bottom"/>
            <w:tcBorders>
              <w:bottom w:val="single" w:sz="8" w:color="CCEEFF"/>
            </w:tcBorders>
            <w:gridSpan w:val="21"/>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7.</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7A.</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Quantitative and Qualitative Disclosures About Market Risk</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8.</w:t>
              </w:r>
            </w:hyperlink>
          </w:p>
        </w:tc>
        <w:tc>
          <w:tcPr>
            <w:tcW w:w="20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5"/>
          </w:tcPr>
          <w:p>
            <w:pPr>
              <w:spacing w:after="0" w:line="17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Financial Statements and Supplementary Data</w:t>
              </w:r>
            </w:hyperlink>
          </w:p>
        </w:tc>
        <w:tc>
          <w:tcPr>
            <w:tcW w:w="5380" w:type="dxa"/>
            <w:vAlign w:val="bottom"/>
            <w:tcBorders>
              <w:top w:val="single" w:sz="8" w:color="CCEEFF"/>
            </w:tcBorders>
            <w:gridSpan w:val="13"/>
          </w:tcPr>
          <w:p>
            <w:pPr>
              <w:spacing w:after="0"/>
              <w:rPr>
                <w:sz w:val="15"/>
                <w:szCs w:val="15"/>
                <w:color w:val="auto"/>
              </w:rPr>
            </w:pPr>
          </w:p>
        </w:tc>
        <w:tc>
          <w:tcPr>
            <w:tcW w:w="6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Item 9.</w:t>
              </w:r>
            </w:hyperlink>
          </w:p>
        </w:tc>
        <w:tc>
          <w:tcPr>
            <w:tcW w:w="320" w:type="dxa"/>
            <w:vAlign w:val="bottom"/>
            <w:gridSpan w:val="3"/>
            <w:shd w:val="clear" w:color="auto" w:fill="CCEEFF"/>
          </w:tcPr>
          <w:p>
            <w:pPr>
              <w:spacing w:after="0"/>
              <w:rPr>
                <w:sz w:val="15"/>
                <w:szCs w:val="15"/>
                <w:color w:val="auto"/>
              </w:rPr>
            </w:pPr>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Item 9A.</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Controls and Procedures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Item 9B.</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Other Information</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PART III</w:t>
              </w:r>
            </w:hyperlink>
          </w:p>
        </w:tc>
        <w:tc>
          <w:tcPr>
            <w:tcW w:w="4500" w:type="dxa"/>
            <w:vAlign w:val="bottom"/>
            <w:tcBorders>
              <w:bottom w:val="single" w:sz="8" w:color="CCEEFF"/>
            </w:tcBorders>
            <w:gridSpan w:val="6"/>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Item 10.</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Directors, Executive Officers and Corporate Governance</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Item 11.</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Executive Compensation</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Item 12.</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Item 13.</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Certain Relationships and Related Transactions, and Director Independence</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Item 14.</w:t>
              </w:r>
            </w:hyperlink>
          </w:p>
        </w:tc>
        <w:tc>
          <w:tcPr>
            <w:tcW w:w="9740" w:type="dxa"/>
            <w:vAlign w:val="bottom"/>
            <w:gridSpan w:val="28"/>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Principal Accounting Fees and Services</w:t>
              </w:r>
            </w:hyperlink>
          </w:p>
        </w:tc>
        <w:tc>
          <w:tcPr>
            <w:tcW w:w="840" w:type="dxa"/>
            <w:vAlign w:val="bottom"/>
            <w:gridSpan w:val="4"/>
          </w:tcPr>
          <w:p>
            <w:pPr>
              <w:jc w:val="right"/>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20" w:type="dxa"/>
            <w:vAlign w:val="bottom"/>
            <w:gridSpan w:val="12"/>
          </w:tcPr>
          <w:p>
            <w:pPr>
              <w:jc w:val="center"/>
              <w:ind w:right="4500"/>
              <w:spacing w:after="0" w:line="176" w:lineRule="exact"/>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PART IV</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Item 15.</w:t>
              </w:r>
            </w:hyperlink>
          </w:p>
        </w:tc>
        <w:tc>
          <w:tcPr>
            <w:tcW w:w="9740" w:type="dxa"/>
            <w:vAlign w:val="bottom"/>
            <w:gridSpan w:val="28"/>
            <w:shd w:val="clear" w:color="auto" w:fill="CCEEFF"/>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Exhibits, Financial Statement Schedules</w:t>
              </w:r>
            </w:hyperlink>
          </w:p>
        </w:tc>
        <w:tc>
          <w:tcPr>
            <w:tcW w:w="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138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12"/>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Signatures</w:t>
              </w:r>
            </w:hyperlink>
          </w:p>
        </w:tc>
        <w:tc>
          <w:tcPr>
            <w:tcW w:w="6840" w:type="dxa"/>
            <w:vAlign w:val="bottom"/>
            <w:gridSpan w:val="16"/>
          </w:tcPr>
          <w:p>
            <w:pPr>
              <w:spacing w:after="0"/>
              <w:rPr>
                <w:sz w:val="15"/>
                <w:szCs w:val="15"/>
                <w:color w:val="auto"/>
              </w:rPr>
            </w:pPr>
          </w:p>
        </w:tc>
        <w:tc>
          <w:tcPr>
            <w:tcW w:w="840" w:type="dxa"/>
            <w:vAlign w:val="bottom"/>
            <w:gridSpan w:val="4"/>
          </w:tcPr>
          <w:p>
            <w:pPr>
              <w:jc w:val="right"/>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141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400" w:type="dxa"/>
            <w:vAlign w:val="bottom"/>
            <w:tcBorders>
              <w:bottom w:val="single" w:sz="8" w:color="auto"/>
            </w:tcBorders>
            <w:gridSpan w:val="16"/>
          </w:tcPr>
          <w:p>
            <w:pPr>
              <w:jc w:val="center"/>
              <w:ind w:left="3730"/>
              <w:spacing w:after="0"/>
              <w:rPr>
                <w:sz w:val="20"/>
                <w:szCs w:val="20"/>
                <w:color w:val="auto"/>
              </w:rPr>
            </w:pPr>
            <w:r>
              <w:rPr>
                <w:rFonts w:ascii="Arial" w:cs="Arial" w:eastAsia="Arial" w:hAnsi="Arial"/>
                <w:sz w:val="18"/>
                <w:szCs w:val="18"/>
                <w:color w:val="auto"/>
                <w:w w:val="99"/>
              </w:rPr>
              <w:t>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this annual report on Form 10-K, except where the context suggests otherwise, the terms:</w:t>
      </w:r>
    </w:p>
    <w:p>
      <w:pPr>
        <w:spacing w:after="0" w:line="22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and “Horizon Technology Finance” refer to Horizon Technology Finance Corporation, a Delaware corporation, and its consolidated subsidiaries;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“Advisor” and the “Administrator” refer to Horizon Technology Finance Management LLC, a Delaware limited liability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II” refers to Horizon Credit II LLC, a Delaware limited liability company, which is a special purpose bankruptcy remote entity and our direct subsidiary;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“Key” refers to KeyBank National Association and “Key Facility” refers to the revolving credit facility with Key;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“2022 Notes” or “Debt Securities” refers to the $37.4 million aggregate principal amount of our 6.25% unsecured notes due 2022, which were issued in September and October 2017;</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“2019 Notes” refers to the $33.0 million aggregate principal amount of our 7.375% senior unsecured notes due 2019, which were redeemed in full in October 2017;</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“2019-1 Securitization” refers to the $160.0 million securitization of secured loans we completed on August 13, 2019;</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“Asset-Backed Notes” refers to $100.0 million in aggregate principal amount of fixed rate asset-backed notes that were issued in conjunction with the 2019-1 Securitization;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“2019-1 Trust” refers to Horizon Funding Trust 2019-1, a Delaware trust;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“HSLFI” refers to Horizon Secured Loan Fund I, a joint venture formed with Arena Sunset SPV, LLC, or “Arena”.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Some of the statements in this annual report on Form 10-K constitute forward-looking statements which apply to both us and our consolidated subsidiaries and relate to future events, future performance or financial condition. The forward-looking statements involve risks and uncertainties for both us and our consolidated subsidiaries and actual results could differ materially from those projected in the forward-looking statements for any reason, including those factors described in “Item 1A.—Risk Factors” and elsewhere in this annual report on Form 10-K.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amortization of the Venture Loan and (4) the lender’s receipt of warrants or other success fees with the making of the Venture Loan.</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business development company, or BDC, under the Investment Company Act of 1940, as amended, or the 1940 Act. In addition, for U.S. federal income tax purposes, we have elected to be treated as a regulated investment company, or RIC, under Subchapter M of the Internal Revenue Code of 1986, as amended, or the Code. As a BDC, we are required to comply with regulatory requirements, including limitations on our use of debt. We are permitted to, and expect to, finance our investments through borrowings. Section 61(a)(2) of the 1940 Act enables BDCs to reduce their asset coverage requirements from 200% to 150%, as a result of the enactment of the Small Business Credit Availability Act, or SBCAA, in March 2018.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pay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ind w:firstLine="324"/>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are a Delaware corporation organized in March 2010 for the purpose of acquiring Compass Horizon and continuing its business as a public entity.</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the commencement of operations of Compass Horizon on March 4, 2008 through December 31, 2019, we funded 181 portfolio companies and invested $1.3 billion in debt investments. As of December 31, 2019, our debt investment portfolio consisted of 35 debt investments with an aggregate fair value of $288.4 million. As of December 31, 2019, 100.0%, or $288.4 million, of our debt investment portfolio at fair value consisted of Senior Term Loans. As of December 31, 2019, 56.7%, or $163.4 million, of our total debt investment portfolio at fair value was held through our 2019-1 Securitization. As of December 31, 2019, our net assets were $184.1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2019, our dollar-weighted annualized yield on average debt investments (excluding any yield from warrants, equity, other investments and HSLFI) was 16.7%.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year ended December 31, 2019, our investment portfolio (including any yield from warrants, equity, other investments and HSLFI) had an overall total yield of 15.7%. We calculate the dollar-weighted yield on average investments for any period as (1) total investment income during the period divided by</w:t>
      </w:r>
    </w:p>
    <w:p>
      <w:pPr>
        <w:jc w:val="both"/>
        <w:ind w:firstLine="8"/>
        <w:spacing w:after="0" w:line="255"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average of the fair value of investments outstanding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1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2019, our debt investments had a dollar-weighted average term of 47 months from inception and a dollar-weighted average remaining term of 38 months. As of December 31, 2019, substantially all of our debt investments had an original committed principal amount of between $3 million and $20 million, repayment terms of between 4 and 60 months and bore current pay interest at annual interest rates of between 9% and 16%.</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2019, our total return based on market value was 25.6%. Total return based on market value is calculated as (x) the sum of (i) the closing sales price of our common stock on the last day of the period plus (ii) the aggregate amount of distributions paid per share during the period, less (iii) the closing sales price of our common stock on the first day of the period, divided by (y) the closing sales price of our common stock on the first day of the period.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debt investments, as of December 31, 2019, we held warrants to purchase stock, predominantly preferred stock, in 66 portfolio companies, equity positions in nine portfolio companies and success fee arrangements in eight portfolio companies.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324"/>
        <w:spacing w:after="0" w:line="272" w:lineRule="auto"/>
        <w:rPr>
          <w:sz w:val="20"/>
          <w:szCs w:val="20"/>
          <w:color w:val="auto"/>
        </w:rPr>
      </w:pPr>
      <w:r>
        <w:rPr>
          <w:rFonts w:ascii="Arial" w:cs="Arial" w:eastAsia="Arial" w:hAnsi="Arial"/>
          <w:sz w:val="17"/>
          <w:szCs w:val="17"/>
          <w:color w:val="auto"/>
        </w:rPr>
        <w:t>On June, 1 2018, we and Arena formed a joint venture, HSLFI, to make investments, either directly or indirectly through subsidiaries, primarily in the form of secured loans to development-stage companies our Target Industries. HSLFI was formed as a Delaware limited liability company and is not consolidated by either us or Arena for financial reporting purposes. Investments held by HSLFI are measured at fair value. As of December 31, 2019, HSLFI had total assets of $48.3 million. HSLFI’s portfolio consisted of debt investments in eight portfolio companies as of December 31, 2019. As of December 31, 2019, the largest investment in a single portfolio company in the HSLFI’s portfolio in aggregate principal amount was $11.3 million and the five largest investments in portfolio companies in HSLFI’s portfolio totaled $30.3 million. As of December 31, 2019, HSLFI had no investments on non-accrual status. HSLFI invests in portfolio companies in the same industries in which we may directly invest.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invest cash or securities in portfolio companies in HSLFI in exchange for limited liability company equity interests in HSLFI. As of December 31, 2019, we and Arena each owned 50.0% of the equity interests of HSLFI. We had an original commitment to fund $25.0 million of equity interests in HSLFI. As of December 31, 2019, $9.8 million was unfunded. Our investment in HSLFI consisted of an equity contribution of $15.2 million as of December 31, 2019.</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investment management agreement dated March 7, 2019,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began trading October 29, 2010 and is currently traded on the Nasdaq Global Select Market, or Nasdaq, under the symbol “HRZN”.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principal executive office is located at 312 Farmington Avenue, Farmington, Connecticut 06032, our telephone number is (860) 676-8654, and our internet address is </w:t>
      </w:r>
      <w:r>
        <w:rPr>
          <w:rFonts w:ascii="Arial" w:cs="Arial" w:eastAsia="Arial" w:hAnsi="Arial"/>
          <w:sz w:val="18"/>
          <w:szCs w:val="18"/>
          <w:i w:val="1"/>
          <w:iCs w:val="1"/>
          <w:color w:val="auto"/>
        </w:rPr>
        <w:t>www.horizontechfinance.com</w:t>
      </w:r>
      <w:r>
        <w:rPr>
          <w:rFonts w:ascii="Arial" w:cs="Arial" w:eastAsia="Arial" w:hAnsi="Arial"/>
          <w:sz w:val="18"/>
          <w:szCs w:val="18"/>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U.S. Securities and Exchange Commission, or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SEC also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publicinfo@sec.gov.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investment activities are managed by our Advisor, and we expect to continue to benefit from our Advisor’s ability to identify attractive investment opportunities, conduct diligence on and value prospective investments, negotiate investments and manage our portfolio of investments. In addition to the experience gained from the years that they have worked together both at our Advisor and prior to the formation of our Advisor, the members of our investment team have broad lending backgrounds, with substantial experience at a variety of commercial finance companies, technology banks and private debt funds, and have developed a broad network of contacts within the venture capital and private equity community. This network of contacts provides a principal source of investment opportunities.</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Advisor is led by six senior managers including Robert D. Pomeroy, Jr., our Chief Executive Officer, Gerald A. Michaud, our President, Daniel R. Trolio, our Senior Vice President and Chief Financial Officer, John C. Bombara, our Senior Vice President, General Counsel and Chief Compliance Officer, Daniel S. Devorsetz, our Senior Vice President and Chief Investment Officer and Diane Earle, our Senior Vice President and Chief Credit Officer.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investment objective is to maximize our investment portfolio’s total return by generating current income from the loans we make and capital appreciation from the warrants we receive when making such loans. To further implement our business strategy, we expect our Advisor to continue to employ the following core strategies:</w:t>
      </w:r>
    </w:p>
    <w:p>
      <w:pPr>
        <w:spacing w:after="0" w:line="181" w:lineRule="exact"/>
        <w:rPr>
          <w:sz w:val="20"/>
          <w:szCs w:val="20"/>
          <w:color w:val="auto"/>
        </w:rPr>
      </w:pPr>
    </w:p>
    <w:p>
      <w:pPr>
        <w:jc w:val="both"/>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Structured investments in the venture capital and private and public equity markets. </w:t>
      </w:r>
      <w:r>
        <w:rPr>
          <w:rFonts w:ascii="Arial" w:cs="Arial" w:eastAsia="Arial" w:hAnsi="Arial"/>
          <w:sz w:val="18"/>
          <w:szCs w:val="18"/>
          <w:color w:val="auto"/>
        </w:rPr>
        <w:t>We make loans to development-stage companies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Industries typically in the form of secured loans. The secured debt structure provides a lower risk strategy, as compared to equity or unsecured debt investments, to participate in the emerging technology markets because the debt structures we typically utilize provide collateral against the downside risk of loss, provide return of capital in a much shorter timeframe through current-pay interest and amortization of principal and have a senior position to equity in the borrower’s capital structure in the case of insolvency, wind down or bankruptcy. Unlike venture capital and private equity investments, our investment returns and return of our capital do not require equity investment exits such as mergers and acquisitions or initial public offerings. Instead, we receive returns on our debt investments primarily through regularly scheduled payments of principal and interest and, if necessary, liquidation of the collateral supporting the debt investment upon a default. Only the potential gains from warrants depend upon equity investment exits.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“Enterprise value” lending. </w:t>
      </w:r>
      <w:r>
        <w:rPr>
          <w:rFonts w:ascii="Arial" w:cs="Arial" w:eastAsia="Arial" w:hAnsi="Arial"/>
          <w:sz w:val="17"/>
          <w:szCs w:val="17"/>
          <w:color w:val="auto"/>
        </w:rPr>
        <w:t>We and our Advisor take an enterprise value approach to structuring and underwriting loans. Enterprise value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the implied valuation based upon recent equity capital invested as well as the intrinsic value of the applicable portfolio company’s particular technology, service or customer base. We secure our lien position against the enterprise value of each portfolio company.</w:t>
      </w:r>
    </w:p>
    <w:p>
      <w:pPr>
        <w:spacing w:after="0" w:line="165"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Creative products with attractive risk-adjusted pricing. </w:t>
      </w:r>
      <w:r>
        <w:rPr>
          <w:rFonts w:ascii="Arial" w:cs="Arial" w:eastAsia="Arial" w:hAnsi="Arial"/>
          <w:sz w:val="17"/>
          <w:szCs w:val="17"/>
          <w:color w:val="auto"/>
        </w:rPr>
        <w:t>Each of our existing and prospective portfolio companies has its own unique funding needs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capital provided from the proceeds of our Venture Loans. These funding needs include funds for additional development “runways”, funds to hire or retain sales staff or funds to invest in research and development in order to reach important technical milestones in advance of raising additional equity. Our loans include current-pay interest, commitment fees, end-of-term payments, or ETPs, pre-payment fees, success fees and non-utilization fees. We believe we have developed pricing tools, structuring techniques and valuation metrics that satisfy our portfolio companies’ financing requirements while mitigating risk and maximizing returns on our investments.</w:t>
      </w:r>
    </w:p>
    <w:p>
      <w:pPr>
        <w:spacing w:after="0" w:line="17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Opportunity for enhanced returns. </w:t>
      </w:r>
      <w:r>
        <w:rPr>
          <w:rFonts w:ascii="Arial" w:cs="Arial" w:eastAsia="Arial" w:hAnsi="Arial"/>
          <w:sz w:val="18"/>
          <w:szCs w:val="18"/>
          <w:color w:val="auto"/>
        </w:rPr>
        <w:t>To enhance our debt investment portfolio returns, in addition to interest and fees, we frequently obtain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the equity of our portfolio companies as additional consideration for making debt investments. The warrants we obtain generally include a “cashless exercise” provision to allow us to exercise these rights without requiring us to make any additional cash investment. Obtaining warrants in our portfolio companies has allowed us to participate in the equity appreciation of our portfolio companies, which we expect will enable us to generate higher returns for our investors.</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Direct origination. </w:t>
      </w:r>
      <w:r>
        <w:rPr>
          <w:rFonts w:ascii="Arial" w:cs="Arial" w:eastAsia="Arial" w:hAnsi="Arial"/>
          <w:sz w:val="18"/>
          <w:szCs w:val="18"/>
          <w:color w:val="auto"/>
        </w:rPr>
        <w:t>We originate transactions directly with technology, life science, healthcare information and services and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These transactions are referred to our Advisor from a number of sources, including referrals from, or direct solicitation of, venture capital and private equity firms, portfolio company management teams, legal firms, accounting firms, investment banks, portfolio company advisors and other lenders that represent companies within our Target Industries. Our Advisor has been the sole or lead originator in substantially all transactions in which the funds it manages have invested.</w:t>
      </w:r>
    </w:p>
    <w:p>
      <w:pPr>
        <w:spacing w:after="0" w:line="188"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Disciplined and balanced underwriting and portfolio management. </w:t>
      </w:r>
      <w:r>
        <w:rPr>
          <w:rFonts w:ascii="Arial" w:cs="Arial" w:eastAsia="Arial" w:hAnsi="Arial"/>
          <w:sz w:val="16"/>
          <w:szCs w:val="16"/>
          <w:color w:val="auto"/>
        </w:rPr>
        <w:t>We use a disciplined underwriting process that includes obtaining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validation from multiple sources, extensive knowledge of our Target Industries, comparable industry valuation metrics and sophisticated financial analysis related to development-stage companies. Our Advisor’s due diligence on investment prospects includes obtaining and evaluating information on the prospective portfolio company’s technology, market opportunity, management team, fund raising history, investor support, valuation considerations, financial condition and projections. We seek to balance our investment portfolio to reduce the risk of down market cycles associated with any particular industry or sector, development-stage or geographic area by quarterly reviewing each criteria and, in the event there is an overconcentration, seeking investment opportunities to reduce such overconcentration. Our Advisor employs a “hands on” approach to portfolio management, requiring private portfolio companies to provide monthly financial information and to participate in regular updates on performance and future plans. For public companies, our Advisor typically relies on publicly reported quarterly financials.</w:t>
      </w:r>
    </w:p>
    <w:p>
      <w:pPr>
        <w:spacing w:after="0" w:line="166"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Use of leverage. </w:t>
      </w:r>
      <w:r>
        <w:rPr>
          <w:rFonts w:ascii="Arial" w:cs="Arial" w:eastAsia="Arial" w:hAnsi="Arial"/>
          <w:sz w:val="18"/>
          <w:szCs w:val="18"/>
          <w:color w:val="auto"/>
        </w:rPr>
        <w:t>We use leverage to increase returns on equity through our Key Facility, through our 2022 Notes and through our 2019-1</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See “Item 7 — Management’s Discussion and Analysis of Financial Condition and Results of Operations — Liquidity and capital resources” for additional information about our use of leverage. In addition, we may issue additional debt securities or preferred stock in one or more series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focus our investments primarily in our Target Industries. The technology sectors we focus on include communications, networking, data storage, software, cloud computing, semiconductor, internet and media and consumer-related technologies. The life science sectors we focus on include biotechnology, drug discovery, drug delivery, bioinformatics and medical devices. The healthcare information and services sectors we focus on include diagnostics, electronic medical record services and software and other healthcare related services and technologies that improve efficiency and quality of administered healthcare. The sustainability sectors we focus on include alternative energy, power management, energy efficiency, green building materials and waste recycling. We refer to all of these companies as “technology-related” companies because the companies are developing or offering goods and services to businesses and consumers which utilize scientific knowledge, including techniques, skills, methods, devices and processes, to solve problems. We intend, under normal market conditions, to invest at least 80% of the value of our total assets in such companies.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Venture Lending has the potential to achieve enhanced returns that are attractive notwithstanding the high degree of risk associated with lending to development-stage companies. Potential benefits include:</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rates that typically exceed rates that would be available to portfolio companies if they could borrow in traditional commercial financing transactions;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investment support provided by cash proceeds from equity capital invested by venture capital and private equity firms or access to public equity markets to access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principal;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debt investments to minimize potential loss of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Venture Lending also provides an attractive financing source for portfolio companies, their management teams and their equity capital investors, as it:</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typically less dilutive to the equity holders than additional equity financing;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extends the time period during which a portfolio company can operate before seeking additional equity capital or pursuing a sale transaction or other liquidity event;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allows portfolio companies to better match cash sources with uses.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together with our Advisor, possess significant competitive strengths, which include the following:</w:t>
      </w:r>
    </w:p>
    <w:p>
      <w:pPr>
        <w:spacing w:after="0" w:line="225"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i w:val="1"/>
          <w:iCs w:val="1"/>
          <w:color w:val="auto"/>
        </w:rPr>
        <w:t xml:space="preserve">Consistently execute commitments and close transactions. </w:t>
      </w:r>
      <w:r>
        <w:rPr>
          <w:rFonts w:ascii="Arial" w:cs="Arial" w:eastAsia="Arial" w:hAnsi="Arial"/>
          <w:sz w:val="16"/>
          <w:szCs w:val="16"/>
          <w:color w:val="auto"/>
        </w:rPr>
        <w:t>Our Advisor and its senior management and investment professionals have an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track record of originating, underwriting and managing Venture Loans. Our Advisor and its predecessor have directly originated, underwritten and managed Venture Loans with an aggregate original principal amount over $1.7 billion to more than 245 companies since operations commenced in 2004.</w:t>
      </w:r>
    </w:p>
    <w:p>
      <w:pPr>
        <w:spacing w:after="0" w:line="14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Robust direct origination capabilities. </w:t>
      </w:r>
      <w:r>
        <w:rPr>
          <w:rFonts w:ascii="Arial" w:cs="Arial" w:eastAsia="Arial" w:hAnsi="Arial"/>
          <w:sz w:val="18"/>
          <w:szCs w:val="18"/>
          <w:color w:val="auto"/>
        </w:rPr>
        <w:t>Our Advisor has significant experience originating Venture Loans in our Target Industries. This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has given our Advisor a deep knowledge of our Target Industries and an extensive base of transaction sources and references.</w:t>
      </w:r>
    </w:p>
    <w:p>
      <w:pPr>
        <w:spacing w:after="0" w:line="17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Highly experienced and cohesive management team. </w:t>
      </w:r>
      <w:r>
        <w:rPr>
          <w:rFonts w:ascii="Arial" w:cs="Arial" w:eastAsia="Arial" w:hAnsi="Arial"/>
          <w:sz w:val="18"/>
          <w:szCs w:val="18"/>
          <w:color w:val="auto"/>
        </w:rPr>
        <w:t>Most of our Advisor’s senior management team of experienced professionals has been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our inception. This consistency allows companies, their management teams and their investors to rely on consistent and predictable service, loan products and terms and underwriting standards.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Relationships with venture capital and private equity investors. </w:t>
      </w:r>
      <w:r>
        <w:rPr>
          <w:rFonts w:ascii="Arial" w:cs="Arial" w:eastAsia="Arial" w:hAnsi="Arial"/>
          <w:sz w:val="18"/>
          <w:szCs w:val="18"/>
          <w:color w:val="auto"/>
        </w:rPr>
        <w:t>Our Advisor has developed strong relationships with venture capital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firms and their partners.</w:t>
      </w:r>
    </w:p>
    <w:p>
      <w:pPr>
        <w:spacing w:after="0" w:line="170"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Well-known brand name. </w:t>
      </w:r>
      <w:r>
        <w:rPr>
          <w:rFonts w:ascii="Arial" w:cs="Arial" w:eastAsia="Arial" w:hAnsi="Arial"/>
          <w:sz w:val="18"/>
          <w:szCs w:val="18"/>
          <w:color w:val="auto"/>
        </w:rPr>
        <w:t>Our Advisor has originated Venture Loans to more than 245 companies in our Target Industries under the “Horizon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Finance”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compete to provide financing to development-stage companies in our Target Industries with a number of investment funds and other BDCs, as well as traditional financial services companies such as commercial banks and other financing sources. Some of our competitors are larger and have greater financial and other resources than we do. We believe we compete effectively with these entities primarily on the basis of the experience, industry knowledge and contacts of our Advisor’s investment professionals, our Advisor’s responsiveness, efficient investment analysis and decision-making processes, its creative financing products and its customized investment terms. We do not intend to compete primarily on the interest rates we offer and believe that some competitors make loans with rates that are comparable to or lower than our rates. For additional information concerning our competitive position and competitive risks, see “Item 1A — Risk Factors — Risks related to our business and structure — 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invest in companies that vary by their stage of development, their Target Industries and sectors of Target Industries and their geographical location, as well as by the venture capital and private equity sponsors that support our portfolio companies. While we invest in companies at various stages of development, we require that prospective portfolio companies be beyond the seed stage of development and have received at least their first round of venture capital or private equity financing before we will consider making an investment. We expect a prospective portfolio company to demonstrate its ability to advance technology and increase its value over time.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identified several criteria that we believe have proven, and will continue to prove, important in achieving our investment objective. These criteria provide general guidelines for our investment decisions. However, we caution you that not all of these criteria are met by each portfolio company in which we choose to invest.</w:t>
      </w:r>
    </w:p>
    <w:p>
      <w:pPr>
        <w:spacing w:after="0" w:line="181"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i w:val="1"/>
          <w:iCs w:val="1"/>
          <w:color w:val="auto"/>
        </w:rPr>
        <w:t xml:space="preserve">Management. </w:t>
      </w:r>
      <w:r>
        <w:rPr>
          <w:rFonts w:ascii="Arial" w:cs="Arial" w:eastAsia="Arial" w:hAnsi="Arial"/>
          <w:sz w:val="17"/>
          <w:szCs w:val="17"/>
          <w:color w:val="auto"/>
        </w:rPr>
        <w:t>Our portfolio companies are generally led by experienced management that has in-market expertise in the Target Industry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operates, as well as extensive experience with development-stage companies. The adequacy and completeness of the management team is assessed relative to the stage of development and the challenges facing the potential portfolio company.</w:t>
      </w:r>
    </w:p>
    <w:p>
      <w:pPr>
        <w:spacing w:after="0" w:line="166"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Continuing support from one or more venture capital and private equity investors. </w:t>
      </w:r>
      <w:r>
        <w:rPr>
          <w:rFonts w:ascii="Arial" w:cs="Arial" w:eastAsia="Arial" w:hAnsi="Arial"/>
          <w:sz w:val="17"/>
          <w:szCs w:val="17"/>
          <w:color w:val="auto"/>
        </w:rPr>
        <w:t>We typically invest in companies in which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venture capital and private equity investors have previously invested and continue to make a contribution to the management of the business. We believe that established venture capital and private equity investors can serve as committed partners and will assist their portfolio companies and their management teams in creating value. We take into consideration the total amount raised by the company, the valuation history, investor reserves for future investment and the expected timing and milestones to the next equity round financing.</w:t>
      </w:r>
    </w:p>
    <w:p>
      <w:pPr>
        <w:spacing w:after="0" w:line="173"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i w:val="1"/>
          <w:iCs w:val="1"/>
          <w:color w:val="auto"/>
        </w:rPr>
        <w:t xml:space="preserve">Operating plan and cash resources. </w:t>
      </w:r>
      <w:r>
        <w:rPr>
          <w:rFonts w:ascii="Arial" w:cs="Arial" w:eastAsia="Arial" w:hAnsi="Arial"/>
          <w:sz w:val="17"/>
          <w:szCs w:val="17"/>
          <w:color w:val="auto"/>
        </w:rPr>
        <w:t>We generally require that a prospective portfolio company, in addition to having sufficient access to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leverage, demonstrate an operating plan capable of generating cash flows or the ability to raise the additional capital necessary to cover its operating expenses and service its debt. Our review of the operating plan will take into consideration existing cash, cash burn, cash runway and the milestones necessary for the company to achieve cash flow positive operations or to access additional equity from its investors.</w:t>
      </w:r>
    </w:p>
    <w:p>
      <w:pPr>
        <w:spacing w:after="0" w:line="17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Enterprise and technology value. </w:t>
      </w:r>
      <w:r>
        <w:rPr>
          <w:rFonts w:ascii="Arial" w:cs="Arial" w:eastAsia="Arial" w:hAnsi="Arial"/>
          <w:sz w:val="18"/>
          <w:szCs w:val="18"/>
          <w:color w:val="auto"/>
        </w:rPr>
        <w:t>We expect that the enterprise value of a prospective portfolio company should substantially exceed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debt borrowed by the company. Enterprise value includes the implied valuation based upon recent equity capital invested as well as the intrinsic value of the company’s particular technology, service or customer base.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Market opportunity and exit strategy. </w:t>
      </w:r>
      <w:r>
        <w:rPr>
          <w:rFonts w:ascii="Arial" w:cs="Arial" w:eastAsia="Arial" w:hAnsi="Arial"/>
          <w:sz w:val="18"/>
          <w:szCs w:val="18"/>
          <w:color w:val="auto"/>
        </w:rPr>
        <w:t>We seek portfolio companies that are addressing market opportunities that capitalize on their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Competitive advantages may include unique technology, legally protected intellectual property, superior clinical results or significant market traction. As part of our investment analysis, we typically also consider potential realization of our warrants through merger, acquisition or initial public offering based upon comparable exits in the company’s Target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has delegated authority for all investment decisions to our Advisor. Our Advisor, in turn, has created an integrated approach to the loan origination, underwriting, approval and documentation process that we believe effectively combines the skills of our Advisor’s professionals. This process allows our Advisor to achieve an efficient and timely closing of an investment from the initial contact with a prospective portfolio company through the investment decision, close of documentation and funding of the investment, while ensuring that our Advisor’s rigorous underwriting standards are consistently maintained. We believe that the high level of involvement by our Advisor’s staff in the various phases of the investment process allows us to minimize the credit risk while delivering superior service to our portfolio companies.</w:t>
      </w:r>
    </w:p>
    <w:p>
      <w:pPr>
        <w:spacing w:after="0" w:line="193"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i w:val="1"/>
          <w:iCs w:val="1"/>
          <w:color w:val="auto"/>
        </w:rPr>
        <w:t xml:space="preserve">Origination. </w:t>
      </w:r>
      <w:r>
        <w:rPr>
          <w:rFonts w:ascii="Arial" w:cs="Arial" w:eastAsia="Arial" w:hAnsi="Arial"/>
          <w:sz w:val="17"/>
          <w:szCs w:val="17"/>
          <w:color w:val="auto"/>
        </w:rPr>
        <w:t>Our Advisor’s loan origination process begins with its industry-focused regional managing directors who are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identifying, contacting and screening prospects. These managing directors meet with key decision makers and deal referral sources such as venture capital and private equity firms and management teams, legal firms, accounting firms, investment banks, portfolio company advisors and other lenders to source prospective portfolio companies. We believe our brand name and management team are well known within the Venture Lending community, as well as by many repeat entrepreneurs and board members of prospective portfolio companies. These broad relationships, which reach across the Venture Lending industry, give rise to a significant portion of our Advisor’s deal origination.</w:t>
      </w:r>
    </w:p>
    <w:p>
      <w:pPr>
        <w:spacing w:after="0" w:line="17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responsible managing director of our Advisor obtains materials from the prospective portfolio company and from those materials, as well as other available information, determines whether it is appropriate for our Advisor to issue a non-binding term sheet. The managing director bases this decision to proceed on his or her experience, the competitive environment and the prospective portfolio company’s needs and also seeks the counsel of our Advisor’s senior management and investment team.</w:t>
      </w:r>
    </w:p>
    <w:p>
      <w:pPr>
        <w:spacing w:after="0" w:line="18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Term sheet. </w:t>
      </w:r>
      <w:r>
        <w:rPr>
          <w:rFonts w:ascii="Arial" w:cs="Arial" w:eastAsia="Arial" w:hAnsi="Arial"/>
          <w:sz w:val="18"/>
          <w:szCs w:val="18"/>
          <w:color w:val="auto"/>
        </w:rPr>
        <w:t>If the managing director determines, after review and consultation with senior management, that the potential transaction meets our</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initial credit standards, our Advisor will issue a non-binding term sheet to the prospective portfolio company.</w:t>
      </w:r>
    </w:p>
    <w:p>
      <w:pPr>
        <w:spacing w:after="0" w:line="17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terms of the transaction are tailored to a prospective portfolio company’s specific funding needs while taking into consideration market dynamics, the quality of the management team, the venture capital and private equity investors involved or ability to access public equity and applicable credit criteria, which may include the prospective portfolio company’s existing cash resources, the development of its technology and the anticipated timing for the next round of equity financing.</w:t>
      </w:r>
    </w:p>
    <w:p>
      <w:pPr>
        <w:spacing w:after="0" w:line="18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Underwriting. </w:t>
      </w:r>
      <w:r>
        <w:rPr>
          <w:rFonts w:ascii="Arial" w:cs="Arial" w:eastAsia="Arial" w:hAnsi="Arial"/>
          <w:sz w:val="18"/>
          <w:szCs w:val="18"/>
          <w:color w:val="auto"/>
        </w:rPr>
        <w:t>Once the term sheet has been negotiated and executed and the prospective portfolio company has remitted a good faith deposit, we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additional due diligence materials from the prospective portfolio company and arrange for a due diligence visit.</w:t>
      </w:r>
    </w:p>
    <w:p>
      <w:pPr>
        <w:spacing w:after="0" w:line="170"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i w:val="1"/>
          <w:iCs w:val="1"/>
          <w:color w:val="auto"/>
        </w:rPr>
        <w:t xml:space="preserve">Due diligence. </w:t>
      </w:r>
      <w:r>
        <w:rPr>
          <w:rFonts w:ascii="Arial" w:cs="Arial" w:eastAsia="Arial" w:hAnsi="Arial"/>
          <w:sz w:val="17"/>
          <w:szCs w:val="17"/>
          <w:color w:val="auto"/>
        </w:rPr>
        <w:t>The due diligence process includes a formal visit to the prospective portfolio company’s location and interviews with the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company’s senior management team. The process includes obtaining and analyzing publicly available information from independent third parties that have knowledge of the prospective portfolio company’s business, including, to the extent available, analysts that follow the technology market, thought leaders in our Target Industries and important customers or partners, if any. Outside sources of information are reviewed, including industry publications, scientific and market articles, internet publications, publicly available information on competitors or competing technologies and information known to our Advisor’s investment team from their experience in the technology markets.</w:t>
      </w:r>
    </w:p>
    <w:p>
      <w:pPr>
        <w:spacing w:after="0" w:line="17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 primary element of the due diligence process is interviewing key existing investors of the prospective portfolio company, who are often also members of the prospective portfolio company’s board of directors. While these board members and/or investors are not independent sources of information, their support for management and willingness to support the prospective portfolio company’s further development are critical elements of our decision making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Investment memorandum. </w:t>
      </w:r>
      <w:r>
        <w:rPr>
          <w:rFonts w:ascii="Arial" w:cs="Arial" w:eastAsia="Arial" w:hAnsi="Arial"/>
          <w:sz w:val="18"/>
          <w:szCs w:val="18"/>
          <w:color w:val="auto"/>
        </w:rPr>
        <w:t>Upon completion of the due diligence process and review and analysis of all of the information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portfolio company and obtained externally, our Advisor’s assigned credit officer prepares an investment memorandum for review and approval. The investment memorandum is reviewed by our Advisor’s Chief Investment Officer and then submitted to our Advisor’s investment committee for approval.</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 committee. </w:t>
      </w:r>
      <w:r>
        <w:rPr>
          <w:rFonts w:ascii="Arial" w:cs="Arial" w:eastAsia="Arial" w:hAnsi="Arial"/>
          <w:sz w:val="17"/>
          <w:szCs w:val="17"/>
          <w:color w:val="auto"/>
        </w:rPr>
        <w:t>Our Advisor’s investment committee is responsible for overall credit policy, portfolio management, approval of all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portfolio monitoring and reporting and managing of problem accounts. The committee interacts with the entire staff of our Advisor to review potential transactions and deal flow. This interaction of cross-functional members of our Advisor’s staff assures efficient transaction sourcing, negotiating and underwriting throughout the transaction process. Portfolio performance and current market conditions are reviewed and discussed by the investment committee on a regular basis to assure that transaction structures and terms are consistent and current.</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Loan closing and funding. </w:t>
      </w:r>
      <w:r>
        <w:rPr>
          <w:rFonts w:ascii="Arial" w:cs="Arial" w:eastAsia="Arial" w:hAnsi="Arial"/>
          <w:sz w:val="18"/>
          <w:szCs w:val="18"/>
          <w:color w:val="auto"/>
        </w:rPr>
        <w:t>Approved investments are documented and closed by our Advisor’s in-house legal and loan administration staff.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is based upon standard templates created by our Advisor and is customized for each transaction to reflect the specific deal terms. The transaction documents typically include a loan and security agreement, warrant agreement and applicable perfection documents, including applicable Uniform Commercial Code financing statements and, as applicable, may also include a landlord agreement, patent and trademark security grants, a subordination agreement, an intercreditor agreement and other standard agreements for commercial loans in the Venture Lending industry. Funding requires final approval by our Advisor’s General Counsel, Chief Executive Officer or President, Chief Financial Officer and Chief Investment Officer or Chief Credit Officer.</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Portfolio management and reporting. </w:t>
      </w:r>
      <w:r>
        <w:rPr>
          <w:rFonts w:ascii="Arial" w:cs="Arial" w:eastAsia="Arial" w:hAnsi="Arial"/>
          <w:sz w:val="17"/>
          <w:szCs w:val="17"/>
          <w:color w:val="auto"/>
        </w:rPr>
        <w:t>Our Advisor maintains a “hands on” approach to maintain communication with our portfolio companies. At</w:t>
      </w:r>
      <w:r>
        <w:rPr>
          <w:rFonts w:ascii="Arial" w:cs="Arial" w:eastAsia="Arial" w:hAnsi="Arial"/>
          <w:sz w:val="17"/>
          <w:szCs w:val="17"/>
          <w:i w:val="1"/>
          <w:iCs w:val="1"/>
          <w:color w:val="auto"/>
        </w:rPr>
        <w:t xml:space="preserve"> </w:t>
      </w:r>
      <w:r>
        <w:rPr>
          <w:rFonts w:ascii="Arial" w:cs="Arial" w:eastAsia="Arial" w:hAnsi="Arial"/>
          <w:sz w:val="17"/>
          <w:szCs w:val="17"/>
          <w:color w:val="auto"/>
        </w:rPr>
        <w:t>least quarterly, our Advisor contacts our portfolio companies for operational and financial updates by phone and performs reviews. Our Advisor may contact portfolio companies deemed to have greater credit risk on a monthly or more frequent basis. Our Advisor requires all private companies to provide financial statements, typically monthly. For public companies, our Advisor typically relies on publicly reported quarterly financials. This allows our Advisor to identify any unexpected developments in the financial performance or condition of our portfolio company</w:t>
      </w:r>
      <w:r>
        <w:rPr>
          <w:rFonts w:ascii="Arial" w:cs="Arial" w:eastAsia="Arial" w:hAnsi="Arial"/>
          <w:sz w:val="17"/>
          <w:szCs w:val="17"/>
          <w:i w:val="1"/>
          <w:iCs w:val="1"/>
          <w:color w:val="auto"/>
        </w:rPr>
        <w:t>.</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Advisor has developed a proprietary internal credit rating system to analyze the quality of our debt investments. Using this system, our Advisor analyzes and then rates the credit risk within the portfolio on a quarterly basis. Each portfolio company is rated on a 1 through 4 scale, with 3 representing the rating for a standard level of risk. A rating of 4 represents an improved and better credit quality than existed at the time of its original underwriting. A rating of 2 or 1 represents a deteriorating credit quality and an increased risk of loss of principal. Newly funded investments are typically assigned a rating of 3, unless extraordinary circumstances require otherwise. These investment ratings are generated internally by our Advisor, and we cannot guarantee that others would assign the same ratings to our portfolio investments or similar portfolio investments.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Advisor closely monitors portfolio companies rated a 1 or 2 for adverse developments. In addition, our Advisor maintains regular contact with the management, board of directors and major equity holders of these portfolio companies in order to discuss strategic initiatives to correct the deterioration of the portfolio company.</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6"/>
          <w:szCs w:val="16"/>
          <w:color w:val="auto"/>
        </w:rPr>
        <w:t>The following table describes each rating level:</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Rating</w:t>
      </w:r>
    </w:p>
    <w:p>
      <w:pPr>
        <w:spacing w:after="0" w:line="6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848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The portfolio company has performed in excess of our expectations as demonstrated by exceeding revenue milestones, clinical milestones or other operating metrics or as a result of raising capital well in excess of our underwriting assumptions. Generally the portfolio company displays one or more of the following: its enterprise value greatly exceeds our loan balance; it has achieved cash flow positive operations or has sufficient cash resources to cover the remaining balance of the loan; there is strong potential for warrant gains from our warrants; and there is a high likelihood that the borrower will receive favorable future financing to support operations. Loans rated 4 are the lowest risk profile in our portfolio and have no expected risk of principal loss.</w:t>
      </w:r>
    </w:p>
    <w:p>
      <w:pPr>
        <w:spacing w:after="0" w:line="165" w:lineRule="exact"/>
        <w:rPr>
          <w:sz w:val="20"/>
          <w:szCs w:val="20"/>
          <w:color w:val="auto"/>
        </w:rPr>
      </w:pPr>
    </w:p>
    <w:p>
      <w:pPr>
        <w:sectPr>
          <w:pgSz w:w="11900" w:h="16838" w:orient="portrait"/>
          <w:cols w:equalWidth="0" w:num="2">
            <w:col w:w="1260" w:space="520"/>
            <w:col w:w="9640"/>
          </w:cols>
          <w:pgMar w:left="240" w:top="908" w:right="239" w:bottom="1440" w:gutter="0" w:footer="0" w:header="0"/>
          <w:type w:val="continuous"/>
        </w:sectPr>
      </w:pPr>
    </w:p>
    <w:p>
      <w:pPr>
        <w:jc w:val="both"/>
        <w:ind w:left="1780" w:right="40" w:hanging="831"/>
        <w:spacing w:after="0" w:line="273" w:lineRule="auto"/>
        <w:tabs>
          <w:tab w:leader="none" w:pos="1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portfolio company has performed to our expectations as demonstrated by meeting revenue milestones, clinical milestones or other operating metrics. It has raised, or is expected to raise, capital consistent with our underwriting assumptions. Generally the portfolio company displays one or more of the following: its enterprise value comfortably exceeds our loan balance; it has sufficient cash resources to operate according to its plan; it is expected to raise additional capital as needed; and there continues to be potential for warrant gains from our warrants. New loans are typically rated 3 when approved and thereafter 3-rated loans represent a standard risk profile, with no principal loss currently expected.</w:t>
      </w:r>
    </w:p>
    <w:p>
      <w:pPr>
        <w:spacing w:after="0" w:line="178" w:lineRule="exact"/>
        <w:rPr>
          <w:sz w:val="20"/>
          <w:szCs w:val="20"/>
          <w:color w:val="auto"/>
        </w:rPr>
      </w:pPr>
    </w:p>
    <w:p>
      <w:pPr>
        <w:jc w:val="both"/>
        <w:ind w:left="1780" w:right="40" w:hanging="831"/>
        <w:spacing w:after="0" w:line="291" w:lineRule="auto"/>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portfolio company has performed below our expectations as demonstrated by missing revenue milestones, delayed clinical progress or otherwise failing to meet projected operating metrics. It may have raised capital in support of the poorer performance but generally on less favorable terms than originally contemplated at the time of underwriting. Generally the portfolio company displays one or more of the following: its enterprise value exceeds our loan balance but at a lower multiple than originally expected; it has sufficient cash to operate according to its plan but liquidity may be tight; and it is planning to raise additional capital but there is uncertainty and the potential for warrant gains from our warrants are possible, but unlikely. Loans rated 2 represent an increased level of risk of loss of principal. While no loss is currently anticipated for a 2-rated loan, there is potential for future loss of principal.</w:t>
      </w:r>
    </w:p>
    <w:p>
      <w:pPr>
        <w:spacing w:after="0" w:line="167" w:lineRule="exact"/>
        <w:rPr>
          <w:sz w:val="20"/>
          <w:szCs w:val="20"/>
          <w:color w:val="auto"/>
        </w:rPr>
      </w:pPr>
    </w:p>
    <w:p>
      <w:pPr>
        <w:jc w:val="both"/>
        <w:ind w:left="1780" w:right="40" w:hanging="831"/>
        <w:spacing w:after="0" w:line="255" w:lineRule="auto"/>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portfolio company has performed well below plan as demonstrated by materially missing revenue milestones, delayed or failed clinical progress or otherwise failing to meet operating metrics. The portfolio company has not raised sufficient capital to operate effectively or retire its debt obligation to us. Generally the portfolio company displays one or more of the following: its enterprise value may not exceed our loan balance; it has insufficient cash to operate according to its plan and liquidity may be tight; and there are uncertain plans to raise additional capital or the portfolio company is being sold under distressed conditions. There is no potential for warrant gains from our warrants. Loans rated 1 are generally put on non-accrual status and represent a high degree of risk of loss of principal.</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 discussion of the ratings of our existing portfolio, see “Item 7 — Management’s Discussion and Analysis of Financial Condition and Results of Operations — Debt investment asset quality.”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BDC, we offer, through our Advisor, and must provide upon request, managerial assistance to certain of our portfolio companies. This assistance may involve monitoring the operations of the portfolio companies, participating in board of directors and management meetings, consulting with and advising officers of portfolio companies and providing other organizational and financial guidance.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we may receive fees for these services, pursuant to the Administration Agreement, we will reimburse our Advisor for its expenses related to providing such services on our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do not have any employees. Each of our executive officers is an employee of our Advisor. Our day-to-day investment operations are managed by our Advisor. We reimburse our Advisor for our allocable portion of expenses incurred by it in performing its obligations under the Administration Agreement, as our Administrator, including our allocable portion of the cost of our Chief Financial Officer and Chief Compliance Officer and their respective staffs.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terms of the Investment Management Agreement, our Advisor:</w:t>
      </w:r>
    </w:p>
    <w:p>
      <w:pPr>
        <w:spacing w:after="0" w:line="225" w:lineRule="exact"/>
        <w:rPr>
          <w:sz w:val="20"/>
          <w:szCs w:val="20"/>
          <w:color w:val="auto"/>
        </w:rPr>
      </w:pPr>
    </w:p>
    <w:p>
      <w:pPr>
        <w:jc w:val="center"/>
        <w:ind w:left="5620" w:right="300" w:hanging="5274"/>
        <w:spacing w:after="0" w:line="778" w:lineRule="auto"/>
        <w:tabs>
          <w:tab w:leader="none" w:pos="6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 w:name="page13"/>
    <w:bookmarkEnd w:id="12"/>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voting or consent rights.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Advisor’s services under the Investment Management Agreement are not exclusive, and it is free to furnish similar services to other entities so long as its services to us are not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our Investment Management Agreement, we pay our Advisor a fee for investment advisory and management services consisting of a base management fee and an incentive fee.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Base management fee. </w:t>
      </w:r>
      <w:r>
        <w:rPr>
          <w:rFonts w:ascii="Arial" w:cs="Arial" w:eastAsia="Arial" w:hAnsi="Arial"/>
          <w:sz w:val="16"/>
          <w:szCs w:val="16"/>
          <w:color w:val="auto"/>
        </w:rPr>
        <w:t>Through October 30, 2018, the base management fee, payable monthly in arrears, was calculated at an annual rate of 2.00%</w:t>
      </w:r>
      <w:r>
        <w:rPr>
          <w:rFonts w:ascii="Arial" w:cs="Arial" w:eastAsia="Arial" w:hAnsi="Arial"/>
          <w:sz w:val="16"/>
          <w:szCs w:val="16"/>
          <w:i w:val="1"/>
          <w:iCs w:val="1"/>
          <w:color w:val="auto"/>
        </w:rPr>
        <w:t xml:space="preserve"> </w:t>
      </w:r>
      <w:r>
        <w:rPr>
          <w:rFonts w:ascii="Arial" w:cs="Arial" w:eastAsia="Arial" w:hAnsi="Arial"/>
          <w:sz w:val="16"/>
          <w:szCs w:val="16"/>
          <w:color w:val="auto"/>
        </w:rPr>
        <w:t>of (i) our gross assets less (ii) cash and cash equivalents. For purposes of calculating the base management fee, the term “gross assets” includes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is calculated at an annual rate of 1.60% of the Company’s gross assets (less cash and cash equivalents) including any assets acquired with the proceeds of leverage.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Incentive fee. </w:t>
      </w: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or PIK, and zero coupon securities), accrued income we have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our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up to the Incentive Fee Cap, defined below, even if we have incurred a loss in that quarter due to realized and unrealized capital losses. Our net investment income used to calculate this part of the incentive fee is also included in the amount of our gross assets used to calculate the 2.00% base management fee. These calculations are appropriately prorated for any period of less than three months and adjusted for any share issuances or repurchases during the applicable quarter.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3" w:name="page14"/>
    <w:bookmarkEnd w:id="13"/>
    <w:p>
      <w:pPr>
        <w:jc w:val="both"/>
        <w:ind w:firstLine="324"/>
        <w:spacing w:after="0" w:line="268" w:lineRule="auto"/>
        <w:rPr>
          <w:sz w:val="20"/>
          <w:szCs w:val="20"/>
          <w:color w:val="auto"/>
        </w:rPr>
      </w:pPr>
      <w:r>
        <w:rPr>
          <w:rFonts w:ascii="Arial" w:cs="Arial" w:eastAsia="Arial" w:hAnsi="Arial"/>
          <w:sz w:val="17"/>
          <w:szCs w:val="17"/>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or the Incentive Fee Look-back Period, the Incentive Fee Look-back Period includes the most recently completed calendar quarter and the 11 preceding full calendar quarters. Each quarterly incentive fee payable on Pre-Incentive Fee Net Investment Income is subject to a cap, or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we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We only pay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154940</wp:posOffset>
            </wp:positionV>
            <wp:extent cx="3858895"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88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Percentage of Pre-Incentive Fee Net Investment Income allocated to first part of incentive fee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our realized capital gains, if any, on a cumulative basis from the date of our election to be a BDC through the end of each calendar year, computed net of all realized capital losses and unrealized capital depreciation on a cumulative basis through the end of such year, less all previous amounts paid in respect of the capital gain incentive fee.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Examples of incentive fee calculation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Example 1: Income related portion of incentive fee before total return requirement calculation for each fiscal quarter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Alternative 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14" w:lineRule="exact"/>
        <w:rPr>
          <w:sz w:val="20"/>
          <w:szCs w:val="20"/>
          <w:color w:val="auto"/>
        </w:rPr>
      </w:pPr>
    </w:p>
    <w:p>
      <w:pPr>
        <w:ind w:left="340" w:right="2280"/>
        <w:spacing w:after="0" w:line="416"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 Pre-Incentive Fee Net Investment Income (investment income - (management fee + other expenses)) = 0.55% Pre-Incentive Fee Net Investment Income does not exceed hurdle rate; therefore, there is no income-related incentive fee. </w:t>
      </w:r>
      <w:r>
        <w:rPr>
          <w:rFonts w:ascii="Arial" w:cs="Arial" w:eastAsia="Arial" w:hAnsi="Arial"/>
          <w:sz w:val="18"/>
          <w:szCs w:val="18"/>
          <w:i w:val="1"/>
          <w:iCs w:val="1"/>
          <w:color w:val="auto"/>
        </w:rPr>
        <w:t>Alternative 2</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11" w:lineRule="exact"/>
        <w:rPr>
          <w:sz w:val="20"/>
          <w:szCs w:val="20"/>
          <w:color w:val="auto"/>
        </w:rPr>
      </w:pPr>
    </w:p>
    <w:p>
      <w:pPr>
        <w:ind w:left="480" w:hanging="148"/>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100.00% × (2.10% - 1.75%)</w:t>
      </w:r>
    </w:p>
    <w:p>
      <w:pPr>
        <w:spacing w:after="0" w:line="211" w:lineRule="exact"/>
        <w:rPr>
          <w:rFonts w:ascii="Arial" w:cs="Arial" w:eastAsia="Arial" w:hAnsi="Arial"/>
          <w:sz w:val="18"/>
          <w:szCs w:val="18"/>
          <w:color w:val="auto"/>
        </w:rPr>
      </w:pPr>
    </w:p>
    <w:p>
      <w:pPr>
        <w:ind w:left="480" w:hanging="148"/>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0.35%</w:t>
      </w:r>
    </w:p>
    <w:p>
      <w:pPr>
        <w:spacing w:after="0" w:line="21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Alternative 3</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Pre-Incentive Fee Net Investment Income (investment income - (management fee + other expenses)) = 2.30%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Incentive fee = 100.00% × “catch-up” + (20.00% × (Pre-Incentive Fee Net Investment Income - 2.1875%))</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Catch up = 2.1875% - 1.75%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0.4375%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Incentive fee = (100.00% × 0.4375%) + (20.00% × (2.30% - 2.1875%))</w:t>
      </w:r>
    </w:p>
    <w:p>
      <w:pPr>
        <w:spacing w:after="0" w:line="225" w:lineRule="exact"/>
        <w:rPr>
          <w:sz w:val="20"/>
          <w:szCs w:val="20"/>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0.4375% + (20.00% × 0.1125%)</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0.46%</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0.46%.</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99" w:right="299" w:bottom="586" w:gutter="0" w:footer="0" w:header="0"/>
        </w:sectPr>
      </w:pPr>
    </w:p>
    <w:bookmarkStart w:id="15" w:name="page16"/>
    <w:bookmarkEnd w:id="15"/>
    <w:p>
      <w:pPr>
        <w:ind w:left="328" w:hanging="328"/>
        <w:spacing w:after="0"/>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t>Represents 7.00% annualized hurdle rate.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Example 2: Income related portion of incentive fee after total return requirement calculation for each fiscal quarter</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Alternative 1</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8"/>
          <w:szCs w:val="18"/>
          <w:color w:val="auto"/>
        </w:rPr>
        <w:t>=100.00% × (2.10% - 1.75%)</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 0.35%</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20.0% of cumulative net increase in net assets resulting from operations since July 1, 2014 = $8,000,000</w:t>
      </w:r>
    </w:p>
    <w:p>
      <w:pPr>
        <w:spacing w:after="0" w:line="212" w:lineRule="exact"/>
        <w:rPr>
          <w:sz w:val="20"/>
          <w:szCs w:val="20"/>
          <w:color w:val="auto"/>
        </w:rPr>
      </w:pPr>
    </w:p>
    <w:p>
      <w:pPr>
        <w:ind w:left="8" w:right="200"/>
        <w:spacing w:after="0" w:line="264" w:lineRule="auto"/>
        <w:rPr>
          <w:sz w:val="20"/>
          <w:szCs w:val="20"/>
          <w:color w:val="auto"/>
        </w:rPr>
      </w:pPr>
      <w:r>
        <w:rPr>
          <w:rFonts w:ascii="Arial" w:cs="Arial" w:eastAsia="Arial" w:hAnsi="Arial"/>
          <w:sz w:val="18"/>
          <w:szCs w:val="18"/>
          <w:color w:val="auto"/>
        </w:rPr>
        <w:t>Although our Pre-Incentive Fee Net Investment Income exceeds the hurdle rate of 1.75%, no incentive fee is payable because 20.0% of the cumulative net increase in net assets resulting from operations since July 1, 2014 did not exceed the cumulative income and capital gains incentive fees accrued and/or paid since July 1, 2014.</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Alternative 2</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color w:val="auto"/>
        </w:rPr>
        <w:t>=100.00% × (2.10% - 1.75%)</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0.35%</w:t>
      </w:r>
    </w:p>
    <w:p>
      <w:pPr>
        <w:spacing w:after="0" w:line="225" w:lineRule="exact"/>
        <w:rPr>
          <w:sz w:val="20"/>
          <w:szCs w:val="20"/>
          <w:color w:val="auto"/>
        </w:rPr>
      </w:pPr>
    </w:p>
    <w:p>
      <w:pPr>
        <w:ind w:left="8" w:right="46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8"/>
          </w:cols>
          <w:pgMar w:left="572" w:top="1152" w:right="259" w:bottom="788" w:gutter="0" w:footer="0" w:header="0"/>
        </w:sectPr>
      </w:pPr>
    </w:p>
    <w:bookmarkStart w:id="16" w:name="page17"/>
    <w:bookmarkEnd w:id="16"/>
    <w:p>
      <w:pPr>
        <w:ind w:left="8"/>
        <w:spacing w:after="0"/>
        <w:rPr>
          <w:sz w:val="20"/>
          <w:szCs w:val="20"/>
          <w:color w:val="auto"/>
        </w:rPr>
      </w:pPr>
      <w:r>
        <w:rPr>
          <w:rFonts w:ascii="Arial" w:cs="Arial" w:eastAsia="Arial" w:hAnsi="Arial"/>
          <w:sz w:val="18"/>
          <w:szCs w:val="18"/>
          <w:color w:val="auto"/>
        </w:rPr>
        <w:t>20.0% of cumulative net increase in net assets resulting from operations since July 1, 2014 = $10,000,000</w:t>
      </w:r>
    </w:p>
    <w:p>
      <w:pPr>
        <w:spacing w:after="0" w:line="225" w:lineRule="exact"/>
        <w:rPr>
          <w:sz w:val="20"/>
          <w:szCs w:val="20"/>
          <w:color w:val="auto"/>
        </w:rPr>
      </w:pPr>
    </w:p>
    <w:p>
      <w:pPr>
        <w:jc w:val="both"/>
        <w:ind w:left="8"/>
        <w:spacing w:after="0" w:line="264" w:lineRule="auto"/>
        <w:rPr>
          <w:sz w:val="20"/>
          <w:szCs w:val="20"/>
          <w:color w:val="auto"/>
        </w:rPr>
      </w:pPr>
      <w:r>
        <w:rPr>
          <w:rFonts w:ascii="Arial" w:cs="Arial" w:eastAsia="Arial" w:hAnsi="Arial"/>
          <w:sz w:val="18"/>
          <w:szCs w:val="18"/>
          <w:color w:val="auto"/>
        </w:rPr>
        <w:t>Because our Pre-Incentive Fee Net Investment Income exceeds the hurdle rate of 1.75% and because 20.0% of the cumulative net increase in net assets resulting from operations since July 1, 2014 exceeds the cumulative income and capital gains incentive fees accrued and/or paid since July 1, 2014, an incentive fee would be payable, as shown in Alternative 3 of Example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124460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25"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Example 3: Capital gains portion of incentive fee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Alternative 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1: $20 million investment made in Company A, or Investment A, and $30 million investment made in Company B, or Investment B</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2: Investment A sold for $50 million and fair market value, or FMV, of Investment B determined to be $32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3: FMV of Investment B determined to be $25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1: None (No sales transaction)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225" w:lineRule="exact"/>
        <w:rPr>
          <w:sz w:val="20"/>
          <w:szCs w:val="20"/>
          <w:color w:val="auto"/>
        </w:rPr>
      </w:pPr>
    </w:p>
    <w:p>
      <w:pPr>
        <w:ind w:left="8" w:right="420"/>
        <w:spacing w:after="0" w:line="277" w:lineRule="auto"/>
        <w:rPr>
          <w:sz w:val="20"/>
          <w:szCs w:val="20"/>
          <w:color w:val="auto"/>
        </w:rPr>
      </w:pPr>
      <w:r>
        <w:rPr>
          <w:rFonts w:ascii="Arial" w:cs="Arial" w:eastAsia="Arial" w:hAnsi="Arial"/>
          <w:sz w:val="18"/>
          <w:szCs w:val="18"/>
          <w:color w:val="auto"/>
        </w:rPr>
        <w:t>Year 3: None; $5 million ((20% multiplied by ($30 million cumulative capital gains less $5 million cumulative capital depreciation)) less $6 million (previous capital gains fee paid in Year 2))</w:t>
      </w:r>
    </w:p>
    <w:p>
      <w:pPr>
        <w:spacing w:after="0" w:line="170" w:lineRule="exact"/>
        <w:rPr>
          <w:sz w:val="20"/>
          <w:szCs w:val="20"/>
          <w:color w:val="auto"/>
        </w:rPr>
      </w:pPr>
    </w:p>
    <w:p>
      <w:pPr>
        <w:ind w:left="8" w:right="180"/>
        <w:spacing w:after="0" w:line="277" w:lineRule="auto"/>
        <w:rPr>
          <w:sz w:val="20"/>
          <w:szCs w:val="20"/>
          <w:color w:val="auto"/>
        </w:rPr>
      </w:pPr>
      <w:r>
        <w:rPr>
          <w:rFonts w:ascii="Arial" w:cs="Arial" w:eastAsia="Arial" w:hAnsi="Arial"/>
          <w:sz w:val="18"/>
          <w:szCs w:val="18"/>
          <w:color w:val="auto"/>
        </w:rPr>
        <w:t>Year 4: Capital gains incentive fee of $200,000; $6.2 million (($31 million cumulative realized capital gains multiplied by 20%) less $6 million (capital gains incentive fee taken in Year 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Alternative 2</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8" w:right="340"/>
        <w:spacing w:after="0" w:line="277" w:lineRule="auto"/>
        <w:rPr>
          <w:sz w:val="20"/>
          <w:szCs w:val="20"/>
          <w:color w:val="auto"/>
        </w:rPr>
      </w:pPr>
      <w:r>
        <w:rPr>
          <w:rFonts w:ascii="Arial" w:cs="Arial" w:eastAsia="Arial" w:hAnsi="Arial"/>
          <w:sz w:val="18"/>
          <w:szCs w:val="18"/>
          <w:color w:val="auto"/>
        </w:rPr>
        <w:t>Year 1: $20 million investment made in Company A, or Investment A, $30 million investment made in Company B, or Investment B and $25 million investment made in Company C, or Investment C</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7"/>
          <w:szCs w:val="17"/>
          <w:color w:val="auto"/>
        </w:rPr>
        <w:t>Year 2: Investment A sold for $50 million, FMV of Investment B determined to be $25 million and FMV of Investment C determined to be $25 million</w:t>
      </w:r>
    </w:p>
    <w:p>
      <w:pPr>
        <w:spacing w:after="0" w:line="237"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4: FMV of Investment B determined to be $35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Year 5: Investment B sold for $20 million</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capital gains incentive fee, if any, would be: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Year 1: None (no sales transaction)</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Year 2: $5 million capital gains incentive fee (20% multiplied by $25 million ($30 million realized capital gains on Investment A less unrealized capital depreciation on Investment B))</w:t>
      </w:r>
    </w:p>
    <w:p>
      <w:pPr>
        <w:spacing w:after="0" w:line="174" w:lineRule="exact"/>
        <w:rPr>
          <w:sz w:val="20"/>
          <w:szCs w:val="20"/>
          <w:color w:val="auto"/>
        </w:rPr>
      </w:pPr>
    </w:p>
    <w:p>
      <w:pPr>
        <w:ind w:left="340" w:right="20"/>
        <w:spacing w:after="0" w:line="210" w:lineRule="auto"/>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($6.4 million (20% multiplied by $32 million ($35 million cumulative realized capital gains less $3 million unrealized capital depreciation)) less $5 million capital gains incentive fee received in Year 2</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 4: None (no sales transaction)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Year 5: None ($5 million (20% multiplied by $25 million (cumulative realized capital gains of $35 million less realized capital losses of $10 million))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$6.4 million cumulative capital gains incentive fee paid in Year 2 and Year 3</w:t>
      </w:r>
      <w:r>
        <w:rPr>
          <w:rFonts w:ascii="Arial" w:cs="Arial" w:eastAsia="Arial" w:hAnsi="Arial"/>
          <w:sz w:val="30"/>
          <w:szCs w:val="30"/>
          <w:color w:val="auto"/>
          <w:vertAlign w:val="superscript"/>
        </w:rPr>
        <w:t>(2)</w:t>
      </w:r>
    </w:p>
    <w:p>
      <w:pPr>
        <w:spacing w:after="0" w:line="14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jc w:val="both"/>
        <w:ind w:left="660" w:right="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Investment Management Agreement were terminated on a date other than our fiscal year end of any year, we may have paid aggregate capital gains incentive fees that are more than the amount of such fees that would be payable if the Investment Management Agreement were terminated on the fiscal year end of such year.</w:t>
      </w:r>
    </w:p>
    <w:p>
      <w:pPr>
        <w:spacing w:after="0" w:line="181" w:lineRule="exact"/>
        <w:rPr>
          <w:rFonts w:ascii="Arial" w:cs="Arial" w:eastAsia="Arial" w:hAnsi="Arial"/>
          <w:sz w:val="18"/>
          <w:szCs w:val="18"/>
          <w:color w:val="auto"/>
        </w:rPr>
      </w:pPr>
    </w:p>
    <w:p>
      <w:pPr>
        <w:jc w:val="both"/>
        <w:ind w:left="660" w:right="5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noted above, it is possible that the cumulative aggregate capital gains fee received by the Advisor ($6.4 million) is effectively greater than $5 million (20.00% of cumulative aggregate realized capital gains less net realized capital losses or net unrealized depreciation ($25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investment professionals and staff of our Advisor, when and to the extent engaged in providing investment advisory and management services, and the compensation and routine overhead expenses of its personnel allocable to such services, are provided and paid for by our Advisor. We bear all other costs and expenses of our operations and transactions, including those relating to:</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calculating our net asset value, or NAV (including the cost and expenses of any independent valuation firms);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including travel expense, incurred by our Advisor or payable to third parties performing due diligence on prospective portfolio companies, monitoring our investments and, if necessary, enforcing our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all future offerings and repurchases of our common stock and other securities,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base management fee and any incentive fee;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distributions on our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allocated costs incurred by our Advisor as our Administrator in providing managerial assistance to those portfolio companies that request it;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listing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fidelity bond;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and legal costs; and</w:t>
      </w:r>
    </w:p>
    <w:p>
      <w:pPr>
        <w:spacing w:after="0" w:line="225"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other expenses incurred by us or the Administrator in connection with administering our business, such as the allocable portion of overhead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our Advisor may pay amounts owed by us to third party providers of goods or services. We subsequently reimburse our Advisor for such amounts paid on our behalf. Generally, our expenses are expensed as incurred in accordance with U.S. generally accepted accounting principles, or GAAP. To the extent we incur costs that should be capitalized and amortized into expense we also do so in accordance with GAAP, which may include amortizing such amount on a straight line basis over the life of the asset or the life of the services or product being performed or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Investment Management Agreement provides that our Advisor and its officers, managers, partners, agents, employees, controlling persons and any other person or entity affiliated with our Advisor are not liable to us for any act or omission by it in the supervision or management of our investment activities or for any loss sustained by us except for acts or omissions constituting willful misfeasance, bad faith, gross negligence or reckless disregard of its obligations under the Investment Management Agreement. The Investment Management Agreement also provides, subject to certain conditions, for indemnification by us of our Advisor and its officers, managers, partners, agents, employees, controlling persons and any other person or entity affiliated with our Advisor for liabilities incurred by them in connection with their services to us (including any liabilities associated with an action or suit by or in the right of us or our stockholders), but excluding liabilities for acts or omissions constituting willful misfeasance, bad faith or gross negligence or reckless disregard of their duties under the Investment Management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 and Approval of the Investment Management Agreement</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At a special meeting of the stockholders on October 30, 2018, the stockholders, upon the recommendation of the Board, approved a new Investment Management Agreement which became effective on March 7, 2019. The Investment Management Agreement is effective for two years from the date of approval and then must be annually reapproved by our Board for a one-year period. When it considered recommending the approval of the Investment Management Agreement, our Board held an in-person meeting at which it focused on information it received relating to (a) the nature, quality and extent of the advisory and other services to be provided to us by our Advisor; (b) comparative data with respect to advisory fees or similar expenses paid by other BDCs with similar investment objectives; (c) our projected expenses and expense ratio compared to BDCs with similar investment objectives; (d) any existing and potential sources of indirect income to our Advisor or the Administrator from their relationships with us and the profitability of those relationships; (e) information about the services to be performed and the personnel performing such services under the Investment Management Agreement;</w:t>
      </w:r>
    </w:p>
    <w:p>
      <w:pPr>
        <w:spacing w:after="0" w:line="1" w:lineRule="exact"/>
        <w:rPr>
          <w:sz w:val="20"/>
          <w:szCs w:val="20"/>
          <w:color w:val="auto"/>
        </w:rPr>
      </w:pPr>
    </w:p>
    <w:p>
      <w:pPr>
        <w:jc w:val="both"/>
        <w:ind w:firstLine="8"/>
        <w:spacing w:after="0" w:line="255" w:lineRule="auto"/>
        <w:tabs>
          <w:tab w:leader="none" w:pos="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our Advisor and its affiliates; (g) our Advisor’s practices regarding the selection and compensation of brokers that may execute our portfolio transactions and the brokers’ provision of brokerage and research services to our Advisor; and (h) the possibility of obtaining similar services from other third party service providers or through an internally managed structure.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324"/>
        <w:spacing w:after="0" w:line="264" w:lineRule="auto"/>
        <w:rPr>
          <w:sz w:val="20"/>
          <w:szCs w:val="20"/>
          <w:color w:val="auto"/>
        </w:rPr>
      </w:pPr>
      <w:r>
        <w:rPr>
          <w:rFonts w:ascii="Arial" w:cs="Arial" w:eastAsia="Arial" w:hAnsi="Arial"/>
          <w:sz w:val="18"/>
          <w:szCs w:val="18"/>
          <w:color w:val="auto"/>
        </w:rPr>
        <w:t>Based on the information reviewed and its discussions related thereto, our Board, including a majority of the directors who are not interested persons of us, determined that the investment management fee rates payable pursuant to the terms of the Investment Management Agreement were reasonable in relation to the services to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terminated earlier as described below, it will continue in effect from year to year after the initial two-year term if approved annually by our Board including a majority of our directors who are not interested persons or by the affirmative vote of the holders of a majority of our outstanding voting securities and a majority of our directors who are not interested persons. The Investment Management Agreement will automatically terminate in the event of its assignment. The Investment Management Agreement may be terminated by either party without penalty by delivering notice of termination upon not more than 60 days’ written notice to the other party. See “Item 1A — Risk Factors — Risks related to our business and structure — 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Administration Agreement was considered and reapproved by our Board, and a majority of our independent directors, on July 27, 2018. Under the Administration Agreement, the Administrator furnishes us with office facilities and equipment, provides us clerical, bookkeeping and record keeping services at such facilities and provides us with other administrative services necessary to conduct our day-to-day operations. We reimburse the Administrator for our allocable portion of overhead and other expenses incurred by the Administrator in performing its obligations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 The Board reviews the allocation of expenses shared with the Advisor or other clients of the Advisor, if any, on a periodic basis to confirm that the allocations are reasonable and appropriate in light of the provisions of the Investment Management Agreement and Administration Agreement and then-current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entered into a license agreement with Horizon Technology Finance, LLC, or HTF, pursuant to which we were granted a non-exclusive, royalty-free right and license to use the service mark “Horizon Technology Finance.” Under this agreement, we have a right to use the “Horizon Technology Finance” service mark for so long as the Investment Management Agreement with our Advisor is in effect. Other than with respect to this limited license, we have no legal right to the “Horizon Technology Finance” service mark.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elected to be regulated as a BDC under the 1940 Act and elected to be treated as a RIC under Subchapter M of the Code.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defined in the 1940 Act. A majority of the outstanding voting securities of a company is defined under the 1940 Act as the lesser of: (1) 67% or more of such company’s shares present at a meeting if more than 50% of the outstanding shares of such company are present or represented by proxy or (2) more than 50% of the outstanding shares of such company. Our bylaws provide for the calling of a special meeting of stockholders at which such action could be considered upon written notice of not less than ten or more than sixty days before the date of such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324"/>
        <w:spacing w:after="0" w:line="254" w:lineRule="auto"/>
        <w:rPr>
          <w:sz w:val="20"/>
          <w:szCs w:val="20"/>
          <w:color w:val="auto"/>
        </w:rPr>
      </w:pPr>
      <w:r>
        <w:rPr>
          <w:rFonts w:ascii="Arial" w:cs="Arial" w:eastAsia="Arial" w:hAnsi="Arial"/>
          <w:sz w:val="18"/>
          <w:szCs w:val="18"/>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our investment policies are fundamental and any may be changed without stockholder approval.</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directors who are not interested persons and, in some cases, prior approval by the SEC. For example, under the 1940 Act, absent receipt of exemptive relief from the SEC, we and our affiliates may be precluded from co-investing in transactions for which terms other than price are negotiated by our affiliates. As a result of one or more of these situations, we may not be able to invest as much as we otherwise would in certain investments or may not be able to liquidate a position as quickly. On November 27, 2017, the SEC granted us, our Advisor and certain of our affiliates an exemptive relief order permitting us to co-invest with certain affiliated funds in negotiated investments, subject to the terms and conditions of the order.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be periodically examined by the SEC for compliance with the 1940 Act.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and our Advisor have adopted and implemented written policies and procedures reasonably designed to prevent violation of the federal securities laws and review these policies and procedures annually for their adequacy and the effectiveness of their implementation. We and our Advisor have designated a chief compliance officer to be responsible for administering the policies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181" w:lineRule="exact"/>
        <w:rPr>
          <w:sz w:val="20"/>
          <w:szCs w:val="20"/>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has a market capitalization of less than $250 million or does not have any class of securities listed on a national securities exchange;</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BDC must have been organized and have its principal place of business in the United States and must be operated for the purpose of making investments in the types of securities described in “Qualifying assets.”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not generally able to issue and sell our common stock at a price below NAV per share. We may, however, issue and sell our common stock, at a price below the current NAV of the common stock, or issue and sell warrants, options or rights to acquire such common stock, at a price below the current NAV of the common stock if our Board determines that such sale is in our best interest and in the best interests of our stockholders, and our stockholders have approved our policy and practice of making such sales within the preceding 12 months. In any such case, the price at which our securities are to be issued and sold may not be less than a price which, in the determination of our Board, closely approximates the market value of such securities. We have not sought the approval of our stockholders in the preceding 12 months but we may seek approval from our stockholders to offer shares of our common stock below its NAV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invest in highly rated commercial paper, U.S. Government agency notes, U.S. Treasury bills or in repurchase agreements relating to such securities that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subject to certain exceptions, if more than 25% of our total assets constitute repurchase agreements from a single counterparty, we generally would not meet the diversification tests in order to qualify as a RIC for federal income tax purposes. Thus, we do not intend to enter into repurchase agreements with a single counterparty in excess of this limit. Our Advisor monitors the creditworthiness of the counterparties with which we enter into repurchase agreement transactions.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Senior securities; derivative securities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150% immediately after each such issuance. In addition, while any senior securities are outstanding, we must make provisions to prohibit any distribution to our stockholders or the repurchase of such securities or shares unless we meet the applicable asset coverage requirements at the time of the distribution or repurchase. We may also borrow amounts up to 5% of the value of our total assets for temporary purposes without regard to asset coverage. For a discussion of the risks associated with leverage, see “Item 1A — Risk Factors — Risks related to our business and structure — We borrow money, which magnifies the potential for gain or loss on amounts invested and may increase the risk of investing in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1940 Act also limits the amount of warrants, options and rights to common stock that we may issue and the terms of such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our Advisor have each adopted a code of ethics pursuant to Rule 17j-1 under the 1940 Act and Rule 204A-1 under the Investment Advisers Act of 1940, as amended, or the Advisers Act, respectively,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relevant code of ethics’ requirements. Each code of ethics is published on our website at www.horizontechfinance.com. We intend to disclose any substantive amendments to, or waivers from, the codes of conduct within four business days of the waiver or amendment through a web site posting.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delegated our proxy voting responsibility to our Advisor. The proxy voting policies and procedures of our Advisor are set forth below. The guidelines are reviewed periodically by our Advisor and our independent directors and, accordingly, are subject to change.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Advisor is registered with the SEC as an investment adviser under the Advisers Act. As an investment adviser registered under the Advisers Act, our Advisor has fiduciary duties to us. As part of this duty, our Advisor recognizes that it must vote client securities in a timely manner free of conflicts of interest and in our best interests and the best interests of our stockholders. Our Advisor’s proxy voting policies and procedures have been formulated to ensure decision-making is consistent with these fiduciary duties.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policies and procedures for voting proxies are intended to comply with Section 206 of, and Rule 206(4)-6 under, the Advisers Act.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policies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Advisor votes proxies relating to our portfolio securities in what our Advisor perceives to be the best interest of our stockholders. Our Advisor reviews on a case-by-case basis each proposal submitted to a stockholder vote to determine its effect on the portfolio securities held by us. Although our Advisor generally votes against proposals that may have a negative effect on our portfolio securities, our Advisor may vote for such a proposal if there exist compelling long-term reasons to do so.</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Advisor’s proxy voting decisions are made by those senior officers who are responsible for monitoring each of our investments. To ensure that a vote is not the product of a conflict of interest, our Advisor requires that (1) anyone involved in the decision-making process disclose to our Chief Compliance Officer any potential conflict that he or she is aware of and any contact that he or she has had with any interested party regarding a proxy vote and</w:t>
      </w:r>
    </w:p>
    <w:p>
      <w:pPr>
        <w:ind w:firstLine="8"/>
        <w:spacing w:after="0" w:line="261" w:lineRule="auto"/>
        <w:tabs>
          <w:tab w:leader="none" w:pos="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involved in the decision-making process or vote administration are prohibited from revealing how we intend to vote on a proposal in order to reduce any attempted influence from interested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40"/>
        <w:spacing w:after="0"/>
        <w:rPr>
          <w:sz w:val="20"/>
          <w:szCs w:val="20"/>
          <w:color w:val="auto"/>
        </w:rPr>
      </w:pPr>
      <w:r>
        <w:rPr>
          <w:rFonts w:ascii="Arial" w:cs="Arial" w:eastAsia="Arial" w:hAnsi="Arial"/>
          <w:sz w:val="18"/>
          <w:szCs w:val="18"/>
          <w:i w:val="1"/>
          <w:iCs w:val="1"/>
          <w:color w:val="auto"/>
        </w:rPr>
        <w:t>Proxy voting records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Chief Compliance Officer, Horizon Technology Finance Corporation, 312 Farmington Avenue, Farmington, Connecticut 06032 or by calling (860) 676-8654.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Sarbanes-Oxley Act of 2002, as amended, or the Sarbanes-Oxley Act, imposes a wide variety of regulatory requirements on publicly held companies and their insiders. Many of these requirements affect us. For example:</w:t>
      </w:r>
    </w:p>
    <w:p>
      <w:pPr>
        <w:spacing w:after="0" w:line="170" w:lineRule="exact"/>
        <w:rPr>
          <w:sz w:val="20"/>
          <w:szCs w:val="20"/>
          <w:color w:val="auto"/>
        </w:rPr>
      </w:pPr>
    </w:p>
    <w:p>
      <w:pPr>
        <w:ind w:left="520" w:right="20" w:hanging="188"/>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170"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170" w:lineRule="exact"/>
        <w:rPr>
          <w:rFonts w:ascii="Arial" w:cs="Arial" w:eastAsia="Arial" w:hAnsi="Arial"/>
          <w:sz w:val="18"/>
          <w:szCs w:val="18"/>
          <w:color w:val="auto"/>
        </w:rPr>
      </w:pPr>
    </w:p>
    <w:p>
      <w:pPr>
        <w:ind w:left="520" w:right="20" w:hanging="188"/>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170" w:lineRule="exact"/>
        <w:rPr>
          <w:rFonts w:ascii="Arial" w:cs="Arial" w:eastAsia="Arial" w:hAnsi="Arial"/>
          <w:sz w:val="18"/>
          <w:szCs w:val="18"/>
          <w:color w:val="auto"/>
        </w:rPr>
      </w:pPr>
    </w:p>
    <w:p>
      <w:pPr>
        <w:jc w:val="both"/>
        <w:ind w:left="520" w:hanging="188"/>
        <w:spacing w:after="0" w:line="31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pursuant to Item 308 of Regulation S-K under the Securities Act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under the Sarbanes-Oxley Act and intend to take actions necessary to ensure that we are in compliance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regulations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Nasdaq has adopted corporate governance regulations with which listed companies must comply. We intend to be in compliance with these corporate governance listing standards. We intend to monitor our compliance with all future listing standards and to take all necessary actions to ensure that we are in compliance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to maintaining the privacy of stockholders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except as permitted by law or as is necessary in order to service stockholder accounts (for example, to a transfer agent or third party administrator).</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restrict access to nonpublic personal information about our stockholders to our Advisor’s employees with a legitimate business need for the information. We maintain physical, electronic and procedural safeguards designed to protect the nonpublic personal information of our stockholders. For a discussion of the risks associated with cyber incidents, see “Item 1A — Risk Factors — Risks related to our business and structure — We are highly dependent on information systems and systems failures could significantly disrupt our business, which may, in turn, negatively affect the market price of our common stock and our ability to pay distributions.”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elected to be subject to tax, and intend to qualify annually to maintain our election to be subject to tax, as a RIC under Subchapter M of the Code. To maintain our RIC status, we must, among other requirements, meet certain source-of-income and quarterly asset diversification requirements (as described below). We also must distribute dividends each tax year of an amount generally at least equal to 90% of the sum of our ordinary income and our realized net short-term capital gains (i.e., net short-term capital gains in excess of net long term losses), or investment company taxable income, if any, out of the assets legally available for distribution, which we refer to as the “Annual Distribution Requirement.” Although not required for us to maintain our RIC tax status, in order to preclude the imposition of a 4% nondeductible federal excise tax imposed on RICs, we are required to distribute dividends in respect of each calendar year of an amount generally at least equal to the sum of (1) 98% of our ordinary income (taking into account certain deferrals and elections) for the calendar year, (2) 98.2% of the excess of our capital gains over our capital losses, or capital gain net income (adjusted for certain ordinary losses) for the one-year period ending on October 31 of the calendar year and (3) any ordinary income or net capital gains for preceding years that was not distributed during such years and on which we previously did not incur any U.S. federal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order to qualify as a RIC, we must:</w:t>
      </w:r>
    </w:p>
    <w:p>
      <w:pPr>
        <w:spacing w:after="0" w:line="1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 any applicable securities law requirements, including capital structure requirements;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 in each tax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Qualifying Income Test;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 year:</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or the Diversification Tests.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entity-level income taxes on the portion of our investment company taxable income as well as any net capital gain (i.e., realized net long-term capital gains in excess of realized net short-term capital losses) we distribute as dividends to stockholders. We may retain for investment all or a portion of our net capital gain. However, if we retain any investment company taxable income or net capital gains, and fail to satisfy the Annual Distribution Requirement, we will be subject to entity-level taxation at regular corporate rates on any amounts retained. If we fail to qualify as a RIC for a period greater than two consecutive tax years, to qualify as a RIC in a subsequent tax year, we may be subject to regular corporate rates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 year) that we elect to recognize on requalification or when recognized over the next five tax years.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securities that are treated under applicable tax rules as having original issue discount (such as debt instruments with PIK interest or, in certain cases, increasing interest rates or issued with warrants), we must include in income each tax year a portion of the original issue discount that accrues over the life of the debt security, regardless of whether cash representing such income is received by us in the same tax year. Because any original issue discount accrued will be included in our investment company taxable income for the tax year of accrual, we may be required to make a distribution to our stockholders in order to satisfy the Annual Distribution Requirement or the Excise Tax Avoidance Requirement, even though we will not have received any corresponding cash amount.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324"/>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generally not permitted to make distributions to our stockholders while our debt obligations and other senior securities are outstanding unless certain “asset coverage” tests are met. Moreover, our ability to dispose of assets to meet our distribution requirements may be limited by</w:t>
      </w:r>
    </w:p>
    <w:p>
      <w:pPr>
        <w:jc w:val="both"/>
        <w:ind w:firstLine="8"/>
        <w:spacing w:after="0" w:line="255"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 year, assuming we do not qualify for or take advantage of certain remedial provisions,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liability should be substantially reduced or eliminated. See “—Election to be taxed as a RIC” above.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or 20% maximum rate to the extent of our current and accumulated earnings and profits. Subject to certain limitations under the Code, dividends paid by us to certain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you should consider carefully the following information before making an investment in our securities. The risks set out below are not the only risks we face. If any of the following events occur, our business, financial condition and results of operations could be materially and adversely affected. In such case, our NAV per share and the trading price of our common stock could decline, and you may lose part or all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personnel of our Advisor and our Advisor’s ability to hire and retain qualified personnel.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have any employees and are dependent upon the members of our Advisor’s senior management, as well as other key personnel for the identification, evaluation, final selection, structuring, closing and monitoring of our investments. These employees have critical industry experience and relationships that we rely on to implement our business plan to originate Venture Loans in our Target Industries. Our future success depends on the continued service of the senior members of our Advisor’s management team. If our Advisor were to lose the services of any of the senior members of our Advisor’s management team, we may not be able to operate our business as we expect, and our ability to compete could be harmed, either of which could cause our business, results of operations or financial condition to suffer.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any two of the three of Mr. Pomeroy, our Chief Executive Officer, Mr. Michaud, our President, or Mr. Trolio, our Chief Financial Officer, ceases to be actively involved with us or our Advisor, and is not replaced by an individual satisfactory to Key within 90 days, Key could, absent a waiver or cure, demand repayment of any outstanding obligations under the Key Facility. In such an event, if we do not have sufficient cash to repay our outstanding obligations, we may be required to sell investments which, due to their illiquidity, may be difficult to sell on favorable terms or at all. We may also be unable to make new investments, cover our existing obligations to extend credit or meet other obligations as they come due, which could adversely impact our results of operations.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also depends, in part, on our Advisor’s ability to identify, attract and retain sufficient numbers of highly skilled employees. If our Advisor is not successful in identifying, attracting and retaining such employees, we may not be able to operate our business as we expect. In addition, our Advisor may in the future manage investment funds with investment objectives similar to ours thereby diverting the time and attention of its investment professionals that we rely on to implement our business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may change or be restructured.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assure you that the Advisor will remain our investment adviser or that we will continue to have access to our Advisor’s investment professionals or its relationships. We would be required to obtain shareholder approval for a new investment management agreement in the event that (1) the Advisor resigns as our investment adviser or (2) a change of control or deemed change of control of the Advisor occurs. We cannot provide assurance that a new investment management agreement or new investment adviser would provide the same or equivalent services on the same or on as favorable of terms as the Investment Management Agreement or the Advisor.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compete for investments with a number of investment funds and other BDCs, as well as traditional financial services companies such as commercial banks and other financing sources. Some of our competitors are larger and have greater financial, technical, marketing and other resources than we have. For example, some competitors may have a lower cost of funds and access to funding sources that are not available to us. This may enable these competitors to make commercial loans with interest rates that are comparable to, or lower than, the rates we typically offer. We may lose prospective portfolio companies if we do not match our competitors’ pricing, terms and structure. If we do match our competitors’ pricing, terms or structure, we may experience decreased net interest income and increased risk of credit losses. In addition, some of our competitors may have higher risk tolerances or different risk assessments, which could allow them to consider a wider variety of investments, establish more relationships than us and build their market shares. Furthermore, many of our competitors are not subject to the regulatory restrictions that the 1940 Act imposes on us as a BDC or that the Code imposes on us as a RIC. If we are not able to compete effectively, we may not be able to identify and take advantage of attractive investment opportunities that we identify and may not be able to fully invest our available capital. If this occurs, our business, financial condition and results of operations could be materially adversely affected.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Leverage is generally considered a speculative investment technique, and we intend to continue to borrow money as part of our business plan. The use of leverage magnifies the potential for gain or loss on amounts invested and, therefore, increases the risks associated with investing in us. See “Item 7 — Management’s Discussion and Analysis of Financial Condition and Results of Operation — Liquidity and capital resources.” Lenders of senior debt securities have fixed dollar claims on our assets that are superior to the claims of our common stockholders. If the value of our assets increases, then leveraging would cause the NAV attributable to our common stock to increase more sharply than it would have had we not leveraged. However, any decrease in our income would cause net income to decline more sharply than it would have had we not leveraged. This decline could adversely affect our ability to make common stock distribution payments. In addition, because our investments may be illiquid, we may be unable to dispose of them or unable to do so at a favorable price in the event we need to do so, if we are unable to refinance any indebtedness upon maturity, and, as a result, we may suffer losses.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service any debt that we incur depends largely on our financial performance and is subject to prevailing economic conditions and competitive pressures. Moreover, as our Advisor’s management fee is payable to our Advisor based on our gross assets less cash and cash equivalents, including those assets acquired through the use of leverage, our Advisor may have a financial incentive to incur leverage which may not be consistent with our stockholders’ interests. As leverage magnifies gains, if any, on our portfolio, as discussed above, our Pre-Incentive Fee Net Investment Income may exceed the quarterly hurdle rate for the incentive fee on income payable. Thus, if we incur additional leverage, the incentive fees payable to the Advisor may increase without any corresponding increase in our performance. Holders of our common stock bear the burden of any increase in our expenses, as a result of leverage, including any increase in the management fee or incentive fee payable to our Advisor.</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leverage described above, in the past, we have securitized a large portion of our debt investments to generate cash for funding new investments and may seek to securitize additional debt investments in the future to the extent permitted by the 1940 Act and the risk retention rules adopted pursuant to Section 941 of the Dodd-Frank Wall Street Reform and Consumer Protection Act, or the Dodd-Frank Act. To securitize additional debt investments in the future, we may create a wholly-owned subsidiary and sell and/or contribute a pool of debt investments to such subsidiary. This could include the sale of interests in the subsidiary on a non-recourse basis to purchasers, who we would expect to be willing to accept a lower interest rate to invest in investment grade loan pools. We would retain all or a portion of the equity in any such securitized pool of loans. An inability to securitize part of our debt investments in the future could limit our ability to grow our business, fully execute our business strategy and increase our earnings. Moreover, certain types of securitization transactions may expose us to greater risk of loss than would other types of financing.</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2018, a “required majority” (as defined in Section 57(o) of the 1940 Act) of our Board approved the reduced asset coverage requirements and separately recommended that our stockholders approve the reduced asset coverage requirements at a special meeting of our stockholders. The Company held a special meeting on October 30, 2018 during which the reduced asset coverage requirements were approved by stockholders. The reduced asset coverage requirements took effect October 31,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Illustration: </w:t>
      </w:r>
      <w:r>
        <w:rPr>
          <w:rFonts w:ascii="Arial" w:cs="Arial" w:eastAsia="Arial" w:hAnsi="Arial"/>
          <w:sz w:val="17"/>
          <w:szCs w:val="17"/>
          <w:color w:val="auto"/>
        </w:rPr>
        <w:t>The following table illustrates the effect of leverage on returns from an investment in our common stock assuming that we employ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our asset coverage equals (1) our actual asset coverage as of December 31, 2019 and (2) 150% at various annual returns, net of expenses. The calculations in the table below are hypothetical and actual returns may be higher or lower than those appearing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Assumed Return on Portfolio</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88"/>
              </w:rPr>
              <w:t>(Net of Expenses)</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185"/>
        </w:trPr>
        <w:tc>
          <w:tcPr>
            <w:tcW w:w="502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rPr>
              <w:t>Corresponding return to common stockholder assuming</w:t>
            </w: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67"/>
        </w:trPr>
        <w:tc>
          <w:tcPr>
            <w:tcW w:w="5020" w:type="dxa"/>
            <w:vAlign w:val="bottom"/>
            <w:shd w:val="clear" w:color="auto" w:fill="CCEEFF"/>
          </w:tcPr>
          <w:p>
            <w:pPr>
              <w:ind w:left="180"/>
              <w:spacing w:after="0" w:line="266" w:lineRule="exact"/>
              <w:rPr>
                <w:sz w:val="20"/>
                <w:szCs w:val="20"/>
                <w:color w:val="auto"/>
              </w:rPr>
            </w:pPr>
            <w:r>
              <w:rPr>
                <w:rFonts w:ascii="Arial" w:cs="Arial" w:eastAsia="Arial" w:hAnsi="Arial"/>
                <w:sz w:val="18"/>
                <w:szCs w:val="18"/>
                <w:color w:val="auto"/>
              </w:rPr>
              <w:t>actual asset coverage as of December 31, 2019</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(22.84)%</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r>
      <w:tr>
        <w:trPr>
          <w:trHeight w:val="205"/>
        </w:trPr>
        <w:tc>
          <w:tcPr>
            <w:tcW w:w="5020" w:type="dxa"/>
            <w:vAlign w:val="bottom"/>
          </w:tcPr>
          <w:p>
            <w:pPr>
              <w:spacing w:after="0" w:line="206" w:lineRule="exact"/>
              <w:rPr>
                <w:sz w:val="20"/>
                <w:szCs w:val="20"/>
                <w:color w:val="auto"/>
              </w:rPr>
            </w:pPr>
            <w:r>
              <w:rPr>
                <w:rFonts w:ascii="Arial" w:cs="Arial" w:eastAsia="Arial" w:hAnsi="Arial"/>
                <w:sz w:val="18"/>
                <w:szCs w:val="18"/>
                <w:color w:val="auto"/>
              </w:rPr>
              <w:t>Corresponding return to common stockholder assuming</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0"/>
        </w:trPr>
        <w:tc>
          <w:tcPr>
            <w:tcW w:w="5020" w:type="dxa"/>
            <w:vAlign w:val="bottom"/>
          </w:tcPr>
          <w:p>
            <w:pPr>
              <w:ind w:left="180"/>
              <w:spacing w:after="0"/>
              <w:rPr>
                <w:sz w:val="20"/>
                <w:szCs w:val="20"/>
                <w:color w:val="auto"/>
              </w:rPr>
            </w:pPr>
            <w:r>
              <w:rPr>
                <w:rFonts w:ascii="Arial" w:cs="Arial" w:eastAsia="Arial" w:hAnsi="Arial"/>
                <w:sz w:val="18"/>
                <w:szCs w:val="18"/>
                <w:color w:val="auto"/>
              </w:rPr>
              <w:t>150% asset coverage</w:t>
            </w:r>
            <w:r>
              <w:rPr>
                <w:rFonts w:ascii="Arial" w:cs="Arial" w:eastAsia="Arial" w:hAnsi="Arial"/>
                <w:sz w:val="30"/>
                <w:szCs w:val="30"/>
                <w:color w:val="auto"/>
                <w:vertAlign w:val="superscript"/>
              </w:rPr>
              <w:t>(2)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(40.24)%</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(25.08)%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6" w:lineRule="exact"/>
        <w:rPr>
          <w:sz w:val="20"/>
          <w:szCs w:val="20"/>
          <w:color w:val="auto"/>
        </w:rPr>
      </w:pPr>
    </w:p>
    <w:p>
      <w:pPr>
        <w:ind w:left="340" w:hanging="332"/>
        <w:spacing w:after="0" w:line="25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$344 million in total assets, $154 million in outstanding debt, $184 million in net assets, and an average cost of borrowed funds of 4.96% at December 31, 2019.</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$558 million in total assets, $368 million in outstanding debt, $184 million in net assets, and an average cost of borrowed funds of 4.96% at December 31, 2019.</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our outstanding indebtedness of $154 million as of December 31, 2019 and the average cost of borrowed funds of 4.96% as of that date, our investment portfolio would have needed to experience an annual return of at least 2.62% to cover annual interest payments on the outstanding debt. Actual interest payments may be different.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an outstanding indebtedness of $368 million on an assumed 150% asset coverage ratio and an average cost of borrowed funds of 4.96%, our investment portfolio would need to experience an annual return of at least 3.59% to cover annual interest payments on the outstanding debt. Actual interest payments may be different.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covenants or restrictions in the Key Facility or make payments when due thereunder, our business could be materially adversely affected.</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Key Facility is secured by a lien on the assets of our wholly owned subsidiary, Credit II. The breach of certain of the covenants or restrictions or our failure to make payments when due under the Key Facility, unless cured within the applicable grace period, would result in a default under the Key Facility that would permit the lender thereunder to declare all amounts outstanding to be due and payable. In such an event, we may not have sufficient assets to repay such indebtedness and the lender may exercise rights available to them, including to the extent permitted under applicable law, the seizure of such assets without adjudication.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Key Facility also requires Credit II and our Advisor to comply with various financial covenants, including maintenance by our Advisor of a minimum tangible net worth and limitations on the value of, and modifications to, the loan collateral that secures the Key Facility. Complying with these restrictions may prevent us from taking actions that we believe would help us to grow our business or are otherwise consistent with our investment objective. These restrictions could also limit our ability to plan for or react to market conditions, meet extraordinary capital needs or otherwise restrict corporate activities, and could result in our failing to qualify as a RIC resulting in our becoming subject to corporate-level income tax. See “Item 7 — Management’s Discussion and Analysis of Financial Condition and Results of Operations — Liquidity and capital resources” for additional information regarding our credit arrangements.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 event of default or acceleration under the Key Facility could also cause a cross-default or cross-acceleration of other debt instruments or contractual obligations, which would adversely impact our liquidity. We may not be granted waivers or amendments to the Key Facility, if for any reason we are unable to comply with the terms of the Key Facility and we may not be able to refinance the Key Facility on terms acceptable to us,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additional debt financing, our business could be materially adversely affected.</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may want to obtain additional debt financing, or need to do so upon maturity of the Key Facility, 2022 Notes or the Asset-Backed Notes, in order to obtain funds which may be made available for investments. We may borrow under the Key Facility until April 6, 2021. After such date, we must repay the outstanding advances under the Key Facility in accordance with its terms and conditions. All outstanding advances under the Key Facility are due and payable on April 6, 2023, unless such date is extended in accordance with the terms of the Key Facility. All outstanding amounts on our 2022 Notes are due and payable on September 15, 2022 unless redeemed prior to that date. The Asset-Backed Notes have a stated maturity of September 15, 2027. If we are unable to increase, renew or replace the Key Facility or enter into other new debt financings on commercially reasonable terms, our liquidity may be reduced significantly. In addition, if we are unable to repay amounts outstanding under any such debt financings and are declared in default or are unable to renew or refinance these debt financings,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third parties or us, and could materially damage our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are subject to certain risks as a result of our interests in connection with the 2019-1 Securitization and our equity interest in the 2019-1 Trust.</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13, 2019, in connection with the 2019-1 Securitization and the offering of the Asset-Backed Notes by the 2019-1 Trust, we sold and/or contributed to Horizon Funding 2019-1, LLC or the Trust Depositor, certain loans, or the Trust Loans, which the Trust Depositor in turn sold and/or contributed to the 2019-1 Trust in exchange for 100% of the equity interest in the 2019-1 Trust, cash proceeds and other consideration. Following these transfers, the 2019-1 Trust, and not the Trust Depositor or us, holds all of the ownership interest in the Trust Loans.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result of the 2019-1 Securitization, we hold, indirectly through the Trust Depositor, 100% of the equity interest of the 2019-1 Trust. As a result, we consolidate the financial statements of the Trust Depositor and the 2019-1 Trust, as well as our other subsidiaries, in our consolidated financial statements. Because each of the Trust Depositor and the 2019-1 Trust is disregarded as an entity separate from its owner for U.S. federal income tax purposes, the sale or contribution by us to the Trust Depositor, and by the Trust Depositor to the 2019-1 Trust, did not constitute a taxable event for U.S. federal income tax purposes. If the U.S. Internal Revenue Service were to take a contrary position, there could be a material adverse effect on our business, financial condition, results of operations or cash flows. Further, a failure of the 2019-1 Trust to be treated as a disregarded entity for U.S. federal income tax purposes would constitute an event of default pursuant to the indenture under the 2019-1 Securitization, upon which the trustee under the 2019-1 Securitization, or the Trustee, may, and will at the direction of a supermajority of the holders of the Asset-Backed Notes (collectively, the “Noteholders”), declare the Asset-Backed Notes to be immediately due and payable and exercise remedies under the indenture, including (i) institute proceedings for the collection of all amounts then payable on the Asset-Backed Notes or under the indenture, enforce any judgment obtained, and collect from the 2019-1 Trust and any other obligor upon the Asset-Backed Notes monies adjudged due; (ii) institute proceedings from time to time for the complete or partial foreclosure of the indenture with respect to the property of the 2019-1 Trust; (iii) exercise any remedies as a secured party under the relevant provisions of the applicable jurisdiction’s UCC and take other appropriate action under applicable law to protect and enforce the rights and remedies of the Trustee and the Noteholders; or (iv) sell the property of the 2019-1 Trust or any portion thereof or rights or interest therein at one or more public or private sales called and conducted in any matter permitted by law. Any such exercise of remedies could have a material adverse effect on our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event of default in connection with the 2019-1 Securitization could give rise to a cross-default under our other material indebtedness.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documents governing our other material indebtedness contain customary cross-default provisions that could be triggered if an event of default occurs in connection with the 2019-1 Securitization. An event of default with respect to our other indebtedness could lead to the acceleration of such indebtedness and the exercise of other remedies as provided in the documents governing such other indebtedness. This could have a material adverse effect on our business, financial condition, results of operations and cash flows and may result in our inability to make distributions sufficient to maintain our status as a RIC.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cash distributions in respect of our indirect ownership interest in the 2019-1 Trust.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Apart from fees payable to us in connection with our role as servicer of the Trust Loans and the reimbursement of related amounts under the 2019-1 Securitization documents, we receive cash in connection with the 2019-1 Securitization only to the extent that the Trust Depositor receives payments in respect of its equity interest in the 2019-1 Trust. The holder of the equity interest in the 2019-1 Trust is the residual claimant on distributions, if any, made by the 2019-1 Trust after the Noteholders and other claimants have been paid in full on each payment date or upon maturity of the Asset-Backed Notes, subject to the priority of payment provisions under the 2019-1 Securitization documents. To the extent that the value of the 2019-1 Trust’s portfolio of Trust Loans is reduced as a result of conditions in the credit markets (relevant in the event of a liquidation event), other macroeconomic factors, distressed or defaulted Trust Loans or the failure of individual portfolio companies to otherwise meet their obligations in respect of the Trust Loans, or for any other reason, the ability of the 2019-1 Trust to make cash distributions in respect of the Trust Depositor’s equity interest would be negatively affected and, consequently, the value of the equity interest in the 2019-1 Trust would also be reduced. In the event that we fail to receive cash indirectly from the 2019-1 Trust, we could be unable to make distributions in amounts sufficient to maintain our status as a RIC or at 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interests of the Noteholders may not be aligned with our interests.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Asset-Backed Notes are debt obligations ranking senior in right of payment to the rights of the holder of the equity interest in the 2019-1 Trust (currently the Trust Depositor, our wholly owned subsidiary), as residual claimant in respect of distributions, if any, made by the 2019-1 Trust. As such, there are circumstances in which the interests of the Noteholders may not be aligned with the interests of the holder of the equity interest in the 2019-1 Trust. For example, under the terms of the documents governing the 2019-1 Securitization, the Noteholders have the right to receive payments of principal and interest prior to the holder of the equity interest in the 2019-1 Trust.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as long as the Asset-Backed Notes remain outstanding, the Noteholders have the right to act in certain circumstances with respect to the Trust Loans in ways that may benefit their interests but not the interests of holder of the equity interest in the 2019-1 Trust, including by exercising remedies under the documents governing the 2019-1 Securitization.</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an event of default occurs, the Noteholders will be entitled to determine the remedies to be exercised, subject to the terms of the documents governing the 2019-1 Securitization. For example, upon the occurrence of an event of default with respect to the Asset-Backed Notes, the Trustee may, and will at the direction of the holders of a supermajority of the Asset-Backed Notes, declare the principal, together with any accrued interest, of the Asset-Backed Note to be immediately due and payable. This would have the effect of accelerating the principal on such Asset-Backed Note, triggering a repayment obligation on the part of the 2019-1 Trust. The Asset-Backed Notes then outstanding will be paid in full before any further payment or distribution is made to the holder of the equity interest in 2019-1 Trust. There can be no assurance that there will be sufficient funds through collections on the Trust Loans or through the proceeds of the sale of the Trust Loans in the event of a bankruptcy or insolvency to repay in full the obligations under the Asset-Backed Notes, or to make any distribution payment to holder of the equity interest in the 2019-1 Trust.</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Remedies pursued by the Noteholders could be adverse to our interests as the indirect holder of the equity interest in the 2019-1 Trust. The Noteholders have no obligation to consider any possible adverse effect on such other interests. Thus, there can be no assurance that any remedies pursued by the Noteholders will be consistent with the best interests of the Trust Depositor or that we will receive, indirectly through the Trust Depositor, any payments or distributions upon an acceleration of the Asset-Backed Notes. Any failure of the 2019-1 Trust to make distributions in respect of the equity interest that we indirectly hold through the Trust Depositor, whether as a result of an event of default and the acceleration of payments on the Asset-Backed Notes or otherwise, could have a material adverse effect on our business, financial condition, results of operations and cash flows and may result in our inability to make distributions sufficient to maintain our status as a RIC.</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events related to the performance of Trust Loans could lead to the acceleration of principal payments on the Asset-Backed Notes.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constitute rapid amortization events, or Rapid Amortization Events, under the documents governing the 2019-1 Securitization: (i) the aggregate outstanding principal balance of all delinquent Trust Loans exceeds twenty percent (20%) of the aggregate outstanding principal balance of the Trust Loans; (ii) the aggregate outstanding principal balance of defaulted Trust Loans plus the aggregate outstanding principal balance of all liquidated Trust Loans exceeds fifteen percent (15%) of the aggregate outstanding principal balance of the Trust Loans; (iii) the aggregate outstanding principal balance of the Asset-Backed Notes exceeds the borrowing base (which is a percentage of the outstanding principal balance of the Trust Loans less delinquent Trust Loans and Trust Loans to issuers that exceed given thresholds) for a period of sixty consecutive days; (iv) the 2019-1 Trust’s pool of Trust Loans contains Trust Loans to nine or fewer obligors during the amortization period; (v) the occurrence of an event of default under the documents governing the 2019-1 Securitization; (vi) the downgrade of the rating of the Asset-Backed Notes by the rating agency to below “BB”; and the downgrade of the rating of the Asset-Backed Notes by the rating agency to below investment-grade and failure to cure such downgrade within 180 days of such downgrade. After a Rapid Amortization Event has occurred, subject to the priority of payment provisions under the documents governing the 2019-1 Securitization, principal collections on the Trust Loans will be used to make accelerated payments of principal on the Asset-Backed Notes until the payment of principal balance of the Asset-Backed Notes is reduced to zero. Such an event could delay, reduce or eliminate the ability of the 2019-1 Trust to make payments or distributions in respect of the equity interest that we indirectly hold, which could have a material adverse effect on our business, financial condition, results of operations and cash flows and may result in our inability to make distributions sufficient to maintain our status as a RIC.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have certain repurchase obligations with respect to the Trust Loans transferred in connection with the 2019-1 Securitization.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2019-1 Securitization, we entered into a sale and contribution agreement and a sale and servicing agreement under which we would be required to repurchase any Trust Loan (or participation interest therein) which was sold to the 2019-1 Trust in breach of certain customary representations and warranties made by us or by the Trust Depositor with respect to such Trust Loan or the legal structure of the 2019-1 Securitization. To the extent that there is such a breach of such representations and warranties and we fail to satisfy any such repurchase obligation, the Trustee may, on behalf of the 2019-1 Trust, bring an action against us to enforce these repurchase obligations.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Because we distribute all or substantially all of our investment company taxable income to our stockholders, we will need additional capital to finance our growth. If additional funds are unavailable or not available on favorable terms, our ability to grow will be impaired.</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 satisfy the requirements applicable to a RIC, to avoid incurring excise taxes and to minimize or to avoid incurring corporate-level federal income taxes, we intend to distribute to our stockholders all or substantially all of our investment company taxable income and net capital gains. However, we may retain all or a portion of our net capital gains, incur any applicable income taxes with respect thereto, and elect to treat such retained net capital gains as deemed distributions to our stockholders. As a BDC, we generally are required to maintain coverage of total assets to total senior securities, which includes all of our borrowings and any preferred stock we may issue in the future, of at least 150%, subject to certain disclosures. This requirement limits the amount that we may borrow. Because we continue to need capital to grow our debt investment portfolio, this limitation may prevent us from incurring debt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limited in our ability to issue equity securities at a price below the then-current NAV per share. If additional funds are not available to us, we could be forced to curtail or cease new lending and investment activities, and our NAV could decline.</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As a BDC, we generally are not able to issue our common stock at a price below the then-current NAV per share without first obtaining the approval of our stockholders and our independent directors. If our common stock trades at a price below NAV per share and we do not receive such approval, our business could be materially adversely affected.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BDC, we generally are not able to issue our common stock at a price below the then-current NAV per share without first obtaining the approval of our stockholders and our independent directors. Stockholder approval to offer our common stock at a price below NAV per share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common stock.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a rising interest rate environment that may affect our cost of capital and net investment income.</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interest rates remain relatively low, due to several factors, including longer-term inflationary pressure that may result from the U.S. government’s fiscal policies, the end of the Federal Reserve quantitative easing program and recent increases in the Federal Funds rate, we expect to experience rising interest rates, rather than falling rates in the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324"/>
        <w:spacing w:after="0" w:line="293" w:lineRule="auto"/>
        <w:rPr>
          <w:sz w:val="20"/>
          <w:szCs w:val="20"/>
          <w:color w:val="auto"/>
        </w:rPr>
      </w:pPr>
      <w:r>
        <w:rPr>
          <w:rFonts w:ascii="Arial" w:cs="Arial" w:eastAsia="Arial" w:hAnsi="Arial"/>
          <w:sz w:val="16"/>
          <w:szCs w:val="16"/>
          <w:color w:val="auto"/>
        </w:rPr>
        <w:t>Because we currently incur indebtedness to fund our investments, a portion of our income depends upon the difference between the interest rate at which we borrow funds and the interest rate at which we invest these funds.To the extent our investments have fixed interest rates or have interest rate floors that are higher than the floor on, or interest rates that “reset” less frequently than, the Key Facility, increases in interest rates can lead to interest rate compression and have a material adverse effect on our net investment income. In addition to increasing the cost of borrowed funds, which may materially reduce our net investment income, rising interest rates may also adversely affect our ability to obtain additional debt financing on terms as favorable as under our current debt financings, or at all. See “—If we are unable to obtain additional debt financing, our business could be materially adversely affected.”</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 rising interest rate environment, there is a risk that the portfolio companies in which we hold floating rate securities will be unable to pay escalating interest amounts, which could result in a default under their loan documents with us. Rising interests rates could also cause portfolio companies to shift cash from other productive uses to the payment of interest, which may have a material adverse effect on their business and operations and could, over time, lead to increased defaults on our investments in such portfolio companies. In addition, increasing payment obligations under floating rate loans may cause borrowers to refinance or otherwise repay our loans earlier than they otherwise would, requiring us to incur management time and expense to re-deploy such proceeds, including on terms that may not be as favorable as our existing loans.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hedge against interest rate fluctuations by using hedging instruments such as caps, swaps, futures, options and forward contracts, subject to applicable legal requirements, including all necessary registrations (or exemptions from registration) with the Commodity Futures Trading Commission. See Item 7A. Quantitative and Qualitative Disclosures About Market Risk. These activities may limit our ability to benefit from lower interest rates with respect to the hedged portfolio. Adverse developments resulting from changes in interest rates or hedging transactions or any adverse developments from our use of hedging instruments could have a material adverse effect on our business, financial condition and results of operations. In addition, we may be unable to enter into appropriate hedging transactions when desired and any hedging transactions we enter into may not be effective.</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rise in the general level of interest rates can be expected to lead to higher interest rates applicable to our debt investments, an increase in interest rates would make it easier for us to meet or exceed the hurdle rate applicable to the incentive fee and may result in a substantial increase in the amount of incentive fees payable to the Advisor with respect to Pre-Incentive Fee Net Investment Income.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an increase in interest rates on investments available to investors could make investment in our common stock less attractive if we are not able to increase our distributions, which could materially reduce the value of our common stock.</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July 2017, the head of the United Kingdom Financial Conduct Authority announced the phase out of the use of LIBOR by the end of 2021. To identify a successor rate for U.S. dollar LIBOR, the Alternative Reference Rates Committee or ARRC, a U.S. based group convened by the Federal Reserve Board and the Federal Reserve Bank of New York, was formed. Similarly, financial regulators in the UK, the European Union, Japan, and Switzerland formed working groups with the aim of recommending alternatives to LIBOR denominated in their local currencies. The ARRC is comprised of a diverse set of private-sector entities and a wide array of official-sector entities, banking regulators, and other financial sector regulators. The ARRC has identified the Secured Overnight Financing Rate or SOFR as its preferred alternative rate for LIBOR. SOFR is a measure of the cost of borrowing cash overnight, collateralized by U.S. Treasury securities, and is based on directly observable U.S. Treasury-backed repurchase transactions. Although SOFR appears to be the preferred replacement rate for U.S. dollar LIBOR, it is unclear if other benchmarks may emerge or if other rates will be adopted outside of the U.S.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expected discontinuation of LIBOR could have a significant impact on our business. The dollar amount of our outstanding debt investments and borrowings that are linked to LIBOR with maturity dates after the anticipated discontinuation date of 2021 is material. We anticipate significant operational challenges for the transition away from LIBOR including, but not limited to, amending existing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any further changes or reforms to the determination or supervision of LIBOR may result in a sudden or prolonged increase or decrease in reported LIBOR, which could have an adverse impact on the market value for or value of any LIBOR-linked securities, loans, and other financial obligations or extensions of credit held by or due to us and could have a material adverse effect on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Because many of our investments are not and typically will not be in publicly traded securities, the value of our investments may not be readily determinable, which could adversely affect the determination of our NAV.</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investments consist, and we expect our future investments to consist, primarily of debt investments or securities issued by privately held companies. As these investments are not publicly traded, their fair value may not be readily determinable. In addition, we are not permitted to maintain a general reserve for anticipated debt investment losses. Instead, we are required by the 1940 Act to specifically value each investment and record an unrealized gain or loss for any asset that we believe has increased or decreased in value. We value these investments on a quarterly basis, or more frequently as circumstances require, in accordance with our valuation policy and consistent with GAAP. Our Board employs independent third-party valuation firms to assist it in arriving at the fair value of our investments. Our Board discusses valuations and determines the fair value in good faith based on the input of our Advisor and the third-party valuation firms. The factors that may be considered in fair value pricing our investments include the nature and realizable value of any collateral, the portfolio company’s earnings and its ability to make payments on its indebtedness, the markets in which the portfolio company does business, comparisons to publicly traded companies, discounted cash flow and other relevant factors. Because such valuations are inherently uncertain and may be based on estimates, our determinations of fair value may differ materially from the values that would be assessed if a ready market for these securities existed. Our NAV could be adversely affected if our determinations regarding the fair value of our investments are materially higher than the values that we ultimately realize upon the disposal of these investments.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additional risks.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plans contemplate a need for a substantial amount of capital in addition to our current amount of capital. We may obtain additional capital through the issuance of debt securities or preferred stock, and we may borrow money from banks or other financial institutions, which we refer to collectively as “senior securities,” up to the maximum amount permitted by the 1940 Act. If we issue senior securities, we would be exposed to typical risks associated with leverage, including an increased risk of loss. In addition, if we issue preferred stock, it would rank senior to common stock in our capital structure and preferred stockholders would have separate voting rights and may have rights, preferences or privileges more favorable than those of holders of our common stock.</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1940 Act permits us to issue senior securities in amounts such that our asset coverage, as defined in the 1940 Act, equals at least 150% after each issuance of senior securities, subject to certain disclosure requirements. If our asset coverage is not at least 150%, we are not permitted to pay distributions or issue additional senior securities. As a result, we may have difficulty meeting the Annual Distribution Requirement necessary to maintain RIC tax treatment. Moreover, if the value of our assets declines, we may be unable to satisfy this asset coverage test. If that happens, we may be required to liquidate a portion of our investments and repay a portion of our indebtedness at a time when we may be unable to do so or unable to do so on favorable terms.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BDC, we generally are not able to issue our common stock at a price below NAV per share without first obtaining the approval of our stockholders and our independent directors. Our stockholder approval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equity securities.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 The stockholder approval requirement does not apply to stock issued upon the exercise of options, warrants or rights that we may issue from time to time. If we raise additional funds by issuing more common stock or senior securities convertible into, or exchangeable for, our common stock, the percentage ownership of our stockholders at that time would decrease, and you may experience dilution.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81"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BDC, we are required to meet a 150% asset coverage ratio,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satisfy the requirements under the Code for qualification as a RIC, we will be subject to corporate-level income taxes.</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To qualify as a RIC under the Code, we must meet certain source-of-income and asset diversification requirements contained in Subchapter M of the Code, as well as maintain our election to be regulated as a BDC under the 1940 Act. We must also meet the Annual Distribution Requirement in order to avoid the imposition of corporate-level income taxes on all of our taxable income, regardless of whether we make any distributions to our stockholders.</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Qualifying Income Test is satisfied if we derive in each tax year at least 90% of our gross income from dividends, interest (including tax-exempt interest), payments with respect to certain securities loans, gains from the sale or other disposition of stock, securities or foreign currencies, other income (including but not limited to gain from options, futures or forward contracts) derived with respect to our business of investing in stock, securities or currencies, or net income derived from interests in “qualified publicly traded partnerships.” The status of certain forms of income we receive could be subject to different interpretations under the Code and might be characterized as non-qualifying income that could cause us to fail to qualify as a RIC, assuming we do not qualify for or take advantage of certain remedial provisions, and, thus, may cause us to be subject to corporate-level federal income taxes.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qualify as a RIC, we must also meet the Diversification Tests at the end of each quarter of our tax year. Failure to meet these tests may result in our having to (1) dispose of certain investments quickly; (2) raise additional capital to prevent the loss of RIC status; or (3) engage in certain remedial actions that may entail the disposition of certain investments at disadvantageous prices that could result in substantial losses, and the payment of penalties, if we qualify to take such actions. Because most of our investments are and will be in development-stage companies within our Target Industries, any such dispositions could be made at disadvantageous prices and may result in substantial losses. If we raise additional capital to satisfy the asset diversification requirements, it could take a longer time to invest such capital. During this period, we will invest in temporary investments, such as money market funds, which we expect will earn yields substantially lower than the interest income that we anticipate receiving in respect of our investments in secured and amortizing debt investments.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Annual Distribution Requirement is satisfied if we distribute dividends to our stockholders in each tax year of an amount generally equal to at least 90% of our investment company taxable income, determined without regard to any deductions for dividends paid. If we borrow money, we may be subject to certain asset coverage requirements under the 1940 Act and loan covenants that could, under certain circumstances, restrict us from making distributions necessary to qualify as a RIC. If we are unable to obtain cash from other sources, we may fail to be eligible to be subject to taxation as a RIC, assuming we do not qualify for or take advantage of certain remedial provisions, and, thus, may be subject to corporate-level income taxes.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were to fail to qualify as a RIC for any reason and become subject to a corporate-level income taxes, the resulting taxes could substantially reduce our net assets, the amount of income available for distribution to our stockholders, and the actual amount of our distributions. Such a failure would have a material adverse effect on us, the NAV of our common stock and the total return, if any, obtainable from your investment in our common stock. In addition, we could be required to recognize unrealized gains, incur substantial taxes and interest and make substantial distributions before requalifying as a RIC. See “Item 1. Business—Regulation.”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Impact of 2017 Federal Tax Legislation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Significant U.S. federal tax reform legislation was enacted in 2017 that, among many other changes, permanently reduced the maximum federal corporate income tax rate, reduced the maximum individual income tax rate (effective for taxable years through 2025), restricted the deductibility of business interest expense, changed the rules regarding the use of net operating losses, and under certain circumstances required accrual method taxpayers to recognize income for U.S. federal income tax purposes no later than the income is taken into account as revenue in an applicable financial statement. The impact of this 2017 legislation on us and our portfolio companies is uncertain. Prospective investors are urged to consult their tax advisors regarding the effects of the 2017 legislation.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tariff and import/export regulations may have a negative effect on our portfolio companies and, in turn, harm us.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taxable income before or without receiving cash.</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instruments that are treated under applicable tax rules as having original issue discount (such as debt instruments with PIK, or, in certain cases, increasing interest rates or issued with warrants), we must include in taxable income each tax year a portion of the original issue discount that accrues over the life of the debt instrument, regardless of whether cash representing such income is received by us in the same tax year. We do not have a policy limiting our ability to invest in original issue discount instruments, including PIK debt investments. Because in certain cases we may recognize taxable income before or without receiving cash representing such income, we may have difficulty meeting the Annual Distribution Requirement.</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Accordingly, we may need to sell some of our assets at times that we would not consider advantageous, raise additional debt or equity capital or forego new investment opportunities or otherwise take actions that are disadvantageous to our business (or be unable to take actions that we believe are necessary or advantageous to our business) in order to satisfy the Annual Distribution Requirement. If we are unable to obtain cash from other sources to satisfy the Annual Distribution Requirement, we may become subject to a corporate-level income taxes on all of our income. The proportion of our income, consisting of interest and fee income that resulted from the portion of original issue discount classified as such in accordance with GAAP not received in cash for the years ended December 31, 2019, 2018 and 2017 was 10.2%, 10.4% and 9.5%,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make loans to borrowers or acquire loans that contain deferred payment features, such as loans providing for the payment of portions of principal and/or interest at maturity, this could increase the risk of default by our borrowers.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investments with deferred payment features, such as debt investments providing for ETPs, may represent a higher credit risk than debt investments requiring payments of all principal and accrued interest at regular intervals over the life of the debt investment. For example, even if the accounting conditions for income accrual were met during the period when the obligation was outstanding, the borrower could still default when our actual collection is scheduled to occur upon maturity of the obligation. The amount of ETPs due under our investments having such a feature currently represents a small portion of the applicable borrowers’ total repayment obligations under such investments. However, deferred payment arrangements increase the incremental risk that we will not receive a portion of the amount due at maturity. Additionally, because investments with a deferred payment feature may have the effect of deferring a portion of the borrower’s payment obligation until maturity of the debt investment, it may be difficult for us to identify and address developing problems with borrowers in terms of their ability to repay us. Any such developments may increase the risk of default on our debt investments by borrowers.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324"/>
        <w:spacing w:after="0" w:line="264" w:lineRule="auto"/>
        <w:rPr>
          <w:sz w:val="20"/>
          <w:szCs w:val="20"/>
          <w:color w:val="auto"/>
        </w:rPr>
      </w:pPr>
      <w:r>
        <w:rPr>
          <w:rFonts w:ascii="Arial" w:cs="Arial" w:eastAsia="Arial" w:hAnsi="Arial"/>
          <w:sz w:val="18"/>
          <w:szCs w:val="18"/>
          <w:color w:val="auto"/>
        </w:rPr>
        <w:t>In addition, debt investments providing for ETPs are subject to the risks associated with debt investments having original issue discount (such as debt instruments with PIK interest or, in certain cases, increasing interest rates or issued with warrants). See “—We may have difficulty paying our required distributions if we recognize taxable income before or without receiving cash.”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borrowing needs of our portfolio companies are unpredictable, especially during a challenging economic environment. We may not be able to meet our unfunded commitments to extend credit, which could have a material adverse effect on our reputation in the market and our ability to generate incremental lending activity and may subject us to lender liability claims.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commitment to extend credit is an agreement to lend funds to our portfolio companies as long as there is no violation of any condition established under the agreement. Because of the credit profile of our portfolio companies, we typically have a substantial amount of total unfunded credit commitments, which amount is not reflected on our balance sheet. The actual borrowing needs of our portfolio companies may exceed our expected funding requirements, especially during a challenging economic environment when our portfolio companies may be more dependent on our credit commitments due to the lack of available credit elsewhere, an increasing cost of credit or the limited availability of equity financing from venture capital firms or otherwise. In addition, limited partner investors of some of our portfolio companies may fail to meet their underlying investment commitments due to liquidity or other financing issues, which may increase our portfolio companies’ borrowing needs. Any failure to meet our unfunded credit commitments in accordance with the actual borrowing needs of our portfolio companies may have a material adverse effect on our reputation in the market and our ability to generate incremental lending activity and may subject us to lender liability claims.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fail to qualify as a BDC or be precluded from investing according to our current business strategy.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BDC, we are prohibited from acquiring any assets other than qualifying assets (as defined under the 1940 Act) unless, at the time of and after giving effect to such acquisition, at least 70% of our total assets are qualifying assets. Subject to certain exceptions for follow-on investments and distressed companies, an investment in an issuer that has outstanding securities listed on a national securities exchange may be treated as a qualifying asset only if such issuer has a market capitalization that is less than $250 million at the time of such investment and meets the other specified requirements. We may decide to make other investments that are not qualifying assets to the extent permitted by the 1940 Act.</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acquire debt or equity securities from an issuer that has outstanding marginable securities at the time we make an investment, these acquired assets may not be treated as qualifying assets. This result is dictated by the definition of “eligible portfolio company” under the 1940 Act, which in part looks to whether a company has outstanding marginable securities. See Item 1 above, “Regulation — Qualifying assets.”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If we do not invest a sufficient portion of our assets in qualifying assets, we could lose our status as a BDC.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modified laws or regulations governing our operations may adversely affect our business.</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and our portfolio companies are subject to regulation at the U.S. local, state and federal level. We are also subject to federal, state and local laws and are subject to judicial and administrative decisions that affect our operations, including maximum interest rates, fees and other charges, disclosures to portfolio companies, the terms of secured transactions, collection and foreclosure proceedings and other trade practices. If these laws, regulations or decisions change, or if we expand our business into additional jurisdictions, we may have to incur significant expenses in order to comply or we might have to restrict our operations. New legislation may be enacted or new interpretations, rulings or regulations could be adopted, including those governing the types of investments we or our portfolio companies are permitted to make, any of which could harm us and our stockholders, potentially with retroactive effect. In particular, the impact of the Dodd-Frank Act, and any amendments thereto that may be enacted, on us and our portfolio companies is subject to continuing uncertainty.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 President Trump and certain members of Congress have indicated they will seek to amend or repeal portions of the Dodd-Frank Act, among other federal laws. We cannot predict the ultimate effect on us or our portfolio companies that changes in the laws and regulations would have as a result of the Dodd-Frank Act, or whether and the extent to which the Dodd-Frank Act may remain in its current form. In addition, uncertainty regarding legislation and regulations affecting the financial services industry or taxation could also adversely impact our business or the business of our portfolio companies. If we do not comply with applicable laws and regulations, we could lose any licenses that we then hold for the conduct of our business and may be subject to civil fines and criminal penalties.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324"/>
        <w:spacing w:after="0" w:line="302" w:lineRule="auto"/>
        <w:rPr>
          <w:sz w:val="20"/>
          <w:szCs w:val="20"/>
          <w:color w:val="auto"/>
        </w:rPr>
      </w:pPr>
      <w:r>
        <w:rPr>
          <w:rFonts w:ascii="Arial" w:cs="Arial" w:eastAsia="Arial" w:hAnsi="Arial"/>
          <w:sz w:val="16"/>
          <w:szCs w:val="16"/>
          <w:color w:val="auto"/>
        </w:rPr>
        <w:t>Changes to or repeal of the laws and regulations governing our operations related to permitted investments may cause us to alter our investment strategy in order to avail ourselves of new or different opportunities. Such changes could result in material differences to our strategies and plans and may shift our investment focus from the areas of expertise of our Advisor to other types of investments in which our Advisor may have little or no expertise or experience. Any such changes, if they occur, could have a material adverse effect on our results of operations and the value of your investment.</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on February 3, 2017, President Trump signed Executive Order 13772 announcing the Administration's policy to regulate the U.S. financial system in a manner consistent with certain "Core Principles," including regulation that is efficient, effective and appropriately tailored. The Executive Order directed the Secretary of the Treasury, in consultation with the heads of the member agencies of the Financial Stability Oversight Council, to report to the President on the extent to which existing laws, regulations and other government policies promote the Core Principles and to identify any laws, regulations or other government policies that inhibit federal regulation of the U.S. financial system. On June 12, 2017, the U.S. Department of the Treasury published the first of several reports in response to the Executive Order on the depository system covering banks and other savings institutions. On October 6, 2017, the Treasury released a second report outlining ways to streamline and reform the U.S. regulatory system for capital markets, followed by a third report, on October 26, 2017, examining the current regulatory framework for the asset management and insurance industries. The Treasury released a fourth report on July 31, 2018 describing recommendations relating to non-bank financial institutions, financial technology and innovation. Subsequent reports are expected to address retail and institutional investment products and vehicles.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May 24, 2018, President Trump signed into law the Economic Growth, Regulatory Relief, and Consumer Protection Act,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January 30, 2020, the Federal Reserve Board released proposed changes to the Volcker Rule that would loosen compliance requirements for all banks. The effect of these changes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presidential administration initiatives could negatively impact our business,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Trump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Trump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Advisor has significant potential conflicts of interest with us and our stockholders.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our arrangements with our Advisor, there may be times when our Advisor has interests that differ from those of our stockholders, giving rise to a potential conflict of interest. Our executive officers and directors, as well as the current and future executives and employees of our Advisor, serve or may serve as officers, directors or principals of entities that operate in the same or a related line of business as we do. Accordingly, they may have obligations to investors in those entities, the fulfillment of which might not be in the best interests of our stockholders. In addition, obligations to these other entities may cause our executive officers and directors and those of our Advisor to divert their time and attention away from us or otherwise cause them not to dedicate a significant portion of their time to our businesses which could slow our rate of investment.</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our Advisor manages other funds, and may manage additional funds in the future, that have investment objectives that are similar, in whole or in part, to ours. Our Advisor may determine that an investment is appropriate for us and for one or more of those other funds. In such an event, depending on the availability of the investment and other appropriate factors, our Advisor will endeavor to allocate investment opportunities in a fair and equitable manner and act in accordance with its written allocation policy to address and, if necessary, resolve any conflict of interests. It is also possible that we may not be given the opportunity to participate in these other investment opportunities.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pay management and incentive fees to our Advisor and reimburse our Advisor for certain expenses it incurs. As a result, investors in our common stock invest on a “gross” basis and receive distributions on a “net” basis after expenses, resulting in a lower rate of return than an investor might achieve through direct investments. Also, the incentive fee payable by us to our Advisor may create an incentive for our Advisor to pursue investments on our behalf that are riskier or more speculative than would be the case in the absence of such compensation arrangements. In addition, if any of the other funds managed by our Advisor have a different fee structure than we do, our Advisor may, in certain circumstances, have an incentive to devote more time and resources, and/or recommend the allocation of investment opportunities, to such fund. For example, to the extent our Advisor’s incentive compensation is not subject to a total return requirement with respect to another fund, it may have an incentive to devote time and resources to such fund.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entered into a license agreement with HTF pursuant to which it has agreed to grant us a non-exclusive, royalty-free right and license to use the service mark “Horizon Technology Finance.” Under this agreement, we have a right to use the “Horizon Technology Finance” service mark for so long as the Investment Management Agreement is in effect between us and our Advisor. In addition, we pay our Advisor, our allocable portion of overhead and other expenses incurred by our Advisor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Any potential conflict of interest arising as a result of our arrangements with our Advisor could have a material adverse effect on our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incentive fee may impact our Advisor’s structuring of our investments, including by causing our Advisor to pursue speculative investments.</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incentive fee payable by us to our Advisor may create an incentive for our Advisor to pursue investments on our behalf that are riskier or more speculative than would be the case in the absence of such compensation arrangement. The incentive fee payable to our Advisor is calculated based on a percentage of our return on invested capital. This may encourage our Advisor to use leverage to increase the return on our investments. Under certain circumstances, the use of leverage may increase the likelihood of default, which would impair the value of our common stock. In addition, our Advisor receives the incentive fee based, in part, upon net capital gains realized on our investments. Unlike that portion of the incentive fee based on income, there is no hurdle rate applicable to the portion of the incentive fee based on net capital gains. As a result, our Advisor may have an incentive to invest more capital in investments that are likely to result in capital gains as compared to income-producing securities. Such a practice could result in our investing in more speculative investments than would otherwise be the case, which could result in higher investment losses, particularly during economic downturns. In addition, the incentive fee may encourage our Advisor to pursue different types of investments or structure investments in ways that are more likely to result in warrant gains or gains on equity investments, including upon exercise of equity participation rights, which are inconsistent with our investment strategy and disciplined underwriting process.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324"/>
        <w:spacing w:after="0" w:line="254" w:lineRule="auto"/>
        <w:rPr>
          <w:sz w:val="20"/>
          <w:szCs w:val="20"/>
          <w:color w:val="auto"/>
        </w:rPr>
      </w:pPr>
      <w:r>
        <w:rPr>
          <w:rFonts w:ascii="Arial" w:cs="Arial" w:eastAsia="Arial" w:hAnsi="Arial"/>
          <w:sz w:val="18"/>
          <w:szCs w:val="18"/>
          <w:color w:val="auto"/>
        </w:rPr>
        <w:t>The incentive fee payable by us to our Advisor may also induce our Advisor to pursue investments on our behalf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net investment income used to calculate the income portion of our investment fee, however, includes accrued interest. Thus, a portion of this incentive fee would be based on income that we have not yet received in cash. In addition, the “catch-up” portion of the incentive fee may encourage our Advisor to accelerate or defer interest payable by portfolio companies from one calendar quarter to another, potentially resulting in fluctuations in the timing and amounts of distributions. Our governing documents do not limit the number of debt investments we may make with deferred interest features or the proportion of our income we derive from such debt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 which may limit the scope of investments available to us.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prohibited under the 1940 Act from participating in certain transactions with our affiliates without the prior approval of our independent directors and, in some cases, of the SEC. Any person that owns, directly or indirectly, 5% or more of our outstanding voting securities is our affiliate for purposes of the 1940 Act, and we are generally prohibited from buying or selling any security from or to, or entering into certain “joint” transactions (which could include investments in the same portfolio company) with, such affiliates, absent the prior approval of our independent directors or, in certain cases, the SEC.</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Advisor is considered to be our affiliate under the 1940 Act, as is any person that controls, or is under common control with us or our Advisor. We are generally prohibited from buying or selling any security from or to, or entering into “joint” transactions with, such affiliates without prior approval of our independent directors and, in some cases, exemptive relief from the SEC.</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however, invest alongside other clients of our Advisor in certain circumstances where doing so is consistent with applicable law, SEC staff interpretations and/or exemptive relief issued by the SEC.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Advisor, acting on our behalf and on behalf of other clients, negotiates no term other than price. We may also invest alongside our Advisor’s other clients as otherwise permissible under regulatory guidance and applicable regulations. Such investments will be allocated in accordance with our Advisor’s allocation policy, and this allocation policy is periodically approved by our Advisor and reviewed by our independent directors. We expect that allocation determinations will be made similarly for other accounts sponsored or managed by our Advisor. If sufficient securities or loan amounts are available to satisfy our and each such account’s proposed demand, we expect that the opportunity will be allocated in accordance with our Advisor’s pre-transaction determination; however, if insufficient securities or loan amounts are available, the opportunity will generally be allocated pro rata based on each affiliate’s initial allocation in the asset class being allocated. We cannot assure you that investment opportunities will be allocated to us fairly or equitably in the short-term or over time.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27, 2017, we were granted exemptive relief from the SEC that permits greater flexibility to negotiate the terms of co-investments if our Board determines in advance that it would be advantageous for us to co-invest with other accounts sponsored or managed by our Advisor in a manner consistent with our investment objective, positions, policies, strategies and restrictions, as well as regulatory requirements and other relevant factors. We cannot assure you, however, that we will develop opportunities that comply with such limitations.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situations where co-investment with other accounts managed by our Advisor is not permitted or appropriate, our Advisor will need to decide which client will proceed with the investment. Our Advisor’s allocation policy provides, in such circumstances, for investments to be allocated to assure that all clients have fair and equitable access to such investment opportunities over time. Moreover, except in certain circumstances, we will be unable to invest in any issuer in which a fund managed by our Advisor has previously invested. Similar restrictions limit our ability to transact business with our officers or directors or their affiliates. These restrictions may limit the scope of investment opportunities that would otherwise be available to 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The valuation process for certain of our portfolio holdings creates a conflict of interest.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majority of our portfolio investments are expected to be made in the form of securities that are not publicly traded. As a result, the Board will determine the fair value of these securities in good faith as described above in “— Because many of our investments typically are not and will not be in publicly traded securities, the value of our investments may not be readily determinable, which could adversely affect the determination of our NAV.” In connection with that determination, investment professionals from the Advisor may provide the Board with portfolio company valuations based upon the most recent portfolio company financial statements available and projected financial results of each portfolio company. The participation of the Advisor’s investment professionals in our valuation process could result in a conflict of interest as the Advisor’s management fee is based, in part, on our gross assets less cash and cash equivalents, and our incentive fees will be based, in part, on unrealized appreciation and depreciation on our investments.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Advisor’s liability is limited, and we have agreed to indemnify our Advisor against certain liabilities, which may lead our Advisor to act in a riskier manner on our behalf than it would when acting for its own account.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Investment Management Agreement, our Advisor does not assume any responsibility to us other than to render the services called for under that agreement, and it is not responsible for any action of our Board in following or declining to follow our Advisor’s advice or recommendations. Under the terms of the Investment Management Agreement, our Advisor, its officers, members, personnel and any person controlling or controlled by our Advisor are not liable to us, any subsidiary of ours, our directors, our stockholders or any subsidiary’s stockholders or partners for acts or omissions performed in accordance with and pursuant to the Investment Management Agreement, except those resulting from acts constituting gross negligence, willful misconduct, bad faith or reckless disregard of our Advisor’s duties under the Investment Management Agreement. In addition, we have agreed to indemnify our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Management Agreement, except where attributable to gross negligence, willful misconduct, bad faith or reckless disregard of such person’s duties under the Investment Management Agreement. These protections may lead our Advisor to act in a riskier manner when acting on our behalf than it would when acting for its own account.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manage our future growth effectively, we may be unable to achieve our investment objective, which could adversely affect our business, results of operations and financial condition and cause the value of your investment in us to decline.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achieve our investment objective depends on our ability to achieve and sustain growth, which depends, in turn, on our Advisor’s direct origination capabilities and disciplined underwriting process in identifying, evaluating, financing, investing in and monitoring suitable companies that meet our investment criteria. Accomplishing this result on a cost-effective basis is largely a function of our Advisor’s marketing capabilities, management of the investment process, ability to provide efficient services and access to financing sources on acceptable terms. In addition to monitoring the performance of our existing investments, our Advisor may also be called upon to provide managerial assistance to our portfolio companies. These demands on their time may distract them or slow the rate of investment. If we fail to manage our future growth effectively, our business, results of operations and financial condition could be materially adversely affected and the value of your investment in us could decrease.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may change our operating policies and strategies, including our investment objective, without prior notice or stockholder approval, the effects of which may adversely affect our business.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may modify or waive our current operating policies and strategies, including our investment objectives, without prior notice and without stockholder approval (provided that no such modification or waiver may change the nature of our business so as to cease to be, or withdraw our election as a BDC as provided by the 1940 Act without stockholder approval at a special meeting called upon written notice of not less than ten or more than sixty days before the date of such meeting). We cannot predict the effect any changes to our current operating policies and strategies would have on our business, results of operations or financial condition or on the value of our stock. However, the effects of any changes might adversely affect our business, any or all of which could negatively impact our ability to pay distributions or cause you to lose all or part of your investment in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due to the nature of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our debt investments, the default rate on these investments, the level of our expenses, variations in, and the timing of, the recognition of realized and unrealized gains or losses, the degree to which we encounter competition in our markets and general economic conditions. For example, we have historically experienced greater investment activity during the second and fourth quarters relative to other periods. As a result of these factors, you should not rely on the results for any prior period as being indicative of our performance in future periods.</w:t>
      </w:r>
    </w:p>
    <w:p>
      <w:pPr>
        <w:spacing w:after="0" w:line="193"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plan and growth strategy depend to a significant extent upon our Advisor’s referral relationships. If our Advisor is unable to develop new or maintain existing relationships, or if these relationships fail to generate investment opportunities, our business could be materially adversely affected.</w:t>
      </w:r>
    </w:p>
    <w:p>
      <w:pPr>
        <w:spacing w:after="0" w:line="1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historically depended on our Advisor’s referral relationships to generate investment opportunities. For us to achieve our future business objectives, members of our Advisor need to maintain these relationships with venture capital and private equity firms and management teams and legal firms, accounting firms, investment banks and other lenders, and we rely to a significant extent upon these relationships to provide us with investment opportunities. If they fail to maintain their existing relationships or develop new relationships with other firms or sources of investment opportunities, we may not be able to grow our investment portfolio. In addition, persons with whom our Advisor has relationships are not obligated to provide us with investment opportunities, and, therefore, there is no assurance that such relationships will lead to the origination of debt or other investments.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our Investment Management Agreement and our Administration Agreement, our Advisor has the right to resign at any time, upon not more than 60 days’ written notice, whether we have found a replacement or not. If our Advisor resigns, we may not be able to find a new investment adviser or administrator or hire internal management with similar expertise and ability to provide the same or equivalent services on acceptable terms within 60 days, or at all. If we are unable to do so, our operations are likely to be disrupted, our business, results of operations and financial condition and our ability to pay distributions may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Advisor and its affiliates. Even if we are able to retain comparable management, whether internal or external, the integration of new management and their lack of familiarity with our investment objective may result in additional costs and time delays that may adversely affect our business,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Section 404 of the Sarbanes-Oxley Act involves significant expenditures, and non-compliance with Section 404 of the Sarbanes-Oxley Act would adversely affect us and the market price of our common stock.</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current SEC rules, we are required to report on our internal control over financial reporting pursuant to Section 404 of the Sarbanes-Oxley Act and related rules and regulations of the SEC. As a result, we incur additional expenses that negatively impact our financial performance and our ability to make distributions. This process also results in a diversion of management’s time and attention. We cannot be certain as to the timing of completion of our annual re-evaluation, testing and remediation actions or the impact of the same on our operations, and we cannot assure you that our internal control over financial reporting is or will be effective. In the event that we are unable to maintain compliance with Section 404 of the Sarbanes-Oxley Act and related rules, we and the market price of our securities may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distributions.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business is highly dependent on the Advisor and its affiliates’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54" w:lineRule="exact"/>
        <w:rPr>
          <w:sz w:val="20"/>
          <w:szCs w:val="20"/>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such as earthquakes, floods, tornadoes and hurricanes;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disease pandemics;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events, could have a material adverse effect on our operating results and negatively affect the market price of our common stock and our ability to pay distributions to our stockholders.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these communications and information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Advisor and third-party service providers. We, along with our Advisor,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are not able to evaluate our future investments.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future investments will be selected by our Advisor, subject to the approval of its investment committee. Our stockholders do not have input into our Advisor’s investment decisions. As a result, our stockholders are unable to evaluate any of our future portfolio company investments. These factors increase the uncertainty, and thus the risk, of investing in our securities.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Beyond our income tax diversification requirements, we do not have fixed guidelines for diversification, and our investments could be focused on relatively few portfolio companies.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324"/>
        <w:spacing w:after="0" w:line="257" w:lineRule="auto"/>
        <w:rPr>
          <w:sz w:val="20"/>
          <w:szCs w:val="20"/>
          <w:color w:val="auto"/>
        </w:rPr>
      </w:pPr>
      <w:r>
        <w:rPr>
          <w:rFonts w:ascii="Arial" w:cs="Arial" w:eastAsia="Arial" w:hAnsi="Arial"/>
          <w:sz w:val="18"/>
          <w:szCs w:val="18"/>
          <w:color w:val="auto"/>
        </w:rPr>
        <w:t>To the extent that we assume large positions in the securities of a small number of issuers, our NAV may fluctuate to a greater extent than that of a diversified investment company as a result of changes in the financial condition or the market’s assessment of the issuer. If a significant investment in one or more portfolio companies fails to perform as expected, our financial results could be more negatively affected and the magnitude of the loss could be more significant than if we had made smaller investments in more portfolio companies. We may also be more susceptible to any single economic or regulatory occurrence than a diversified investment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be focused on a limited number of industries, which will subject us to a risk of significant loss if there is a downturn in a particular industry.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portfolio may be focused on a limited number of industries. As a result, a downturn in any particular industry in which we are invested could also significantly impact the aggregate returns we realize. Our Target Industries are susceptible to changes in government policy and economic assistance, which could adversely affect the returns we receive.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investments do not meet our performance expectations, you may not receive distributions.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to make distributions of income on a monthly basis to our stockholders. We may not be able to achieve operating results that will allow us to make distributions at a specific level or increase the amount of these distributions from time to time. In addition, due to the asset coverage test applicable to us as a BDC, we may be limited in our ability to make distributions. Also, restrictions and provisions in any existing or future credit facilities may limit our ability to make distributions. If we do not distribute a certain percentage of our income each tax year as dividends to stockholders, we will suffer adverse tax consequences, including the possible loss of our ability to be subject to tax as a RIC.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portfolio companies will need additional capital, which may not be readily available.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portfolio companies typically require substantial additional financing to satisfy their continuing working capital and other capital requirements and service the interest and principal payments on our investments. We cannot predict the circumstances or market conditions under which our portfolio companies will seek additional capital. Each round of institutional equity financing is typically intended to provide a company with only enough capital to reach the next stage of development. It is possible that one or more of our portfolio companies will not be able to raise additional financing or may be able to do so only at a price or on terms that are unfavorable to the portfolio company, either of which would negatively impact our investment returns. Some of these companies may be unable to obtain sufficient financing from private investors, public capital markets or lenders, thereby requiring these companies to cease or curtail business operations. Accordingly, investing in these types of companies generally entails a higher risk of loss than investing in companies that do not have significant incremental capital raising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an initial investment in a portfolio company, we may have opportunities to make additional investments in that portfolio company as “follow-on” investments, in seeking to:</w:t>
      </w:r>
    </w:p>
    <w:p>
      <w:pPr>
        <w:spacing w:after="0" w:line="170"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or maintain in whole or in part our position as a creditor or equity ownership percentage in a portfolio company;</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or enhance the value of our investment.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discretion to make follow-on investments, subject to the availability of capital resources. Failure on our part to make follow-on investments may, in some circumstances, jeopardize the continued viability of a portfolio company and our initial investment, or may result in a missed opportunity for us to increase our participation in a successful portfolio company. Even if we have sufficient capital to make a desired follow-on investment, we may elect not to make a follow-on investment because we may not want to increase our level of risk, because we prefer other opportunities or because of regulatory or other considerations. Our ability to make follow-on investments may also be limited by our Advisors’ allocation policy.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Economic recessions or downturns could adversely affect our business and that of our portfolio companies which may have an adverse effect on our business, results of operations and financial condition.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General economic conditions may affect our activities and the operation and value of our portfolio companies. Economic slowdowns or recessions may result in a decrease of institutional equity investment, which would limit our lending opportunities. Furthermore, many of our portfolio companies are susceptible to economic or industry centric slowdowns or recessions and may be unable to repay our debt investments during these periods. Therefore, our non-performing assets are likely to increase and the value of our portfolio is likely to decrease during these periods. Adverse economic conditions may also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could also increase our funding costs, limit our access to the capital markets or result in a decision by lenders not to extend credit to us.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the portfolio company’s ability to meet its obligations under the loans that we hold. We may incur expenses to the extent necessary to recover our investment upon default or to negotiate new terms with a defaulting portfolio company. These events could harm our financial condition and operating results.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period of market disruption may have a material adverse effect on our business, financial condition, results of operations and cash flows. In addition, unfavorable economic conditions, including rising interest rates, may also increase our funding costs, limit our access to capital markets or negatively impact our ability to obtain financing, particularly from the debt markets.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investment strategy focuses on investments in development-stage companies in our Target Industries, which are subject to many risks, including volatility, intense competition, shortened product life cycles and periodic downturns, and would be rated below “investment grade.”</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intend to invest, under normal circumstances, most of the value of our total assets (including the amount of any borrowings for investment purposes) in development-stage companies, which may have relatively limited operating histories, in our Target Industries. Many of these companies may have narrow product lines and small market shares, compared to larger established, publicly owned firms, which tend to render them more vulnerable to competitors’ actions and market conditions, as well as general economic downturns. The revenues, income (or losses) and valuations of development-stage companies in our Target Industries can and often do fluctuate suddenly and dramatically. For these reasons, investments in our portfolio companies, if rated by one or more ratings agency, would typically be rated below “investment grade,” which refers to securities rated by ratings agencies below the four highest rating categories. These companies may also have more limited access to capital and higher funding costs. In addition, development-stage technology markets are generally characterized by abrupt business cycles and intense competition, and the competitive environment can change abruptly due to rapidly evolving technology. Therefore, our portfolio companies may face considerably more risk than companies in other industry sectors. Accordingly, these factors could impair their cash flow or result in other events, such as bankruptcy, which could limit their ability to repay their obligations to us and may materially adversely affect the return on, or the recovery of, our investments in these businesses.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of rapid technological change, the average selling prices of products and some services provided by development-stage companies in our Target Industries have historically decreased over their productive lives. These decreases could adversely affect their operating results and cash flow, their ability to meet obligations under their debt securities and the value of their equity securities. This could, in turn, materially adversely affect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debt investments may be an indication of future realized losses, which could reduce our income available for distribution.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the market value of our investments or, if no market value is ascertainable, at the fair value as determined in good faith pursuant to procedures approved by our Board in accordance with our valuation policy. We are not permitted to maintain a reserve for debt investment losses. Decreases in the fair values of our investments, which can occur rapidly based upon developments affecting our portfolio companies, are recorded as unrealized depreciation. Any unrealized depreciation in our debt investments could be an indication of a portfolio company’s inability to meet its repayment obligations to us with respect to the affected debt investments. This could result in realized losses in the future and ultimately reduces our income available for distribution in future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If the assets securing the debt investments we make decrease in value, we may not have sufficient collateral to cover losses and may experience losses upon foreclosure.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our portfolio companies generally are and will be able to repay our debt investments from their available capital, from future capital-raising transactions or from cash flow from operations. However, to mitigate our credit risks, we typically take a security interest in all or a portion of the assets of our portfolio companies. There is a risk that the collateral securing our debt investments may decrease in value over time, may be difficult to appraise or sell in a timely manner and may fluctuate in value based upon the business and market conditions, including as a result of an inability of the portfolio company to raise additional capital, and, in some circumstances, our lien could be subordinated to claims of other creditors. In addition, deterioration of a portfolio company’s financial condition and prospects, including its inability to raise additional capital, may be accompanied by deterioration of the value of the collateral for the debt investment. Consequently, although such debt investment is secured, we may not receive principal and interest payments according to the debt investment’s terms and the value of the collateral may not be sufficient to recover our investment should we be forced to enforce our remedies.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because we invest in development-stage companies in our Target Industries, a substantial portion of the assets securing our investment may be in the form of intellectual property, if any, inventory, equipment, cash and accounts receivables. Intellectual property, if any, which secures a debt investment could lose value if the company’s rights to the intellectual property are challenged or if the company’s license to the intellectual property is revoked or expires. In addition, in lieu of a security interest in a portfolio company’s intellectual property we may sometimes obtain a security interest in all assets of the portfolio company other than intellectual property and also obtain a commitment by the portfolio company not to grant liens to any other creditor on the company’s intellectual property. In these cases, we may have additional difficulty recovering our principal in the event of a foreclosure. Similarly, any equipment securing our debt investments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 which may adversely affect our ability to pay distributions in the future.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structure the debt investments in our portfolio companies to include business and financial covenants placing affirmative and negative obligations on the operation of such companies’ business and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These events could harm our financial condition and operating results.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 and if we need to sell any of our investments, we may not be able to do so at a favorable price. As a result, we may suffer losses.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plan to generally invest in debt investments with terms of up to four years and hold such investments until maturity, unless earlier prepaid, and we do not expect that our related holdings of equity securities will provide us with liquidity opportunities in the near-term. We expect to primarily invest in companies whose securities are not publicly-traded, and whose securities are subject to legal and other restrictions on resale or are otherwise less liquid than publicly traded securities. The illiquidity of these investments may make it difficult for us to sell these investments when desired. We may also face other restrictions on our ability to liquidate an investment in a public portfolio company to the extent that we possess material non-public information regarding the portfolio company. In addition, if we are required to liquidate all or a portion of our portfolio quickly, we may realize significantly less than the value at which we had previously recorded these investments. As a result, we do not expect to dispose of our investments in the near term. However, we may be required to do so in order to maintain our qualification as a BDC and as a RIC if we do not satisfy one or more of the applicable criteria under the respective regulatory frameworks. Because most of our investments are illiquid, we may be unable to dispose of them, in which case we could fail to qualify as a RIC and/or BDC, or we may not be able to dispose of them at favorable prices, and as a result, we may suffer losses.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The disposition of our debt investments may result in contingent liabilities.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disposition of a debt investment, we may be required to make representations about the business and financial affairs of the portfolio company typical of those made in connection with the sale of a business. We may also be required to indemnify the purchasers of such debt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plan to invest primarily in debt investments issued by our portfolio companies. Some of our portfolio companies are permitted to have other debt that ranks equally with, or senior to, our debt investments in the portfolio company. By their terms, these debt instruments may provide that the holders thereof are entitled to receive payment of interest or principal on or before the dates on which we are entitled to receive payments in respect of our debt investments. These debt instruments may prohibit the portfolio companies from paying interest on or repaying our investments in the event of, and during, the continuance of a default under the debt instruments. In addition, in the event of insolvency, liquidation, dissolution, reorganization or bankruptcy of a portfolio company, holders of debt instruments ranking senior to our investment in that portfolio company would typically be entitled to receive payment in full before we receive any payment in respect of our investment. After repaying senior creditors, a portfolio company may not have any remaining assets to use for repaying its obligation to us. In the case of debt ranking equally with our debt investments, we would have to share on a pro rata basis any distributions with other creditors holding such debt in the event of an insolvency, liquidation, dissolution, reorganization or bankruptcy.</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Even though certain of our investments are structured as senior debt investments,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or an out-of-court restructuring might enable other lenders to become effectively senior to our claims. We may also be subject to lender liability claims for actions taken by us with respect to a portfolio company’s business, including in rendering significant managerial assistance, or instances where we exercise control over the portfolio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 investment strategy that primarily includes investments in privately held companies presents certain challenges, including a lack of available information about these companies, a dependence on the talents and efforts of only a few key portfolio company personnel and a greater vulnerability to economic downturns.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invest, and plan to invest, in privately held companies. Generally, very little public information exists about these companies, and we are required to rely on the ability of our Advisor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a smaller market presence than larger competitors. Thus, they are generally more vulnerable to economic downturns and may experience substantial variations in operating results. These factors could affect our investment returns.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our success depends, in large part, upon the abilities of the key management personnel of our portfolio companies, who are responsible for the day-to-day operations of our portfolio companies. Competition for qualified personnel is intense at any stage of a company’s development. The loss of one or more key managers can hinder or delay a company’s implementation of its business plan and harm its financial condition. Our portfolio companies may not be able to attract and retain qualified managers and personnel. Any inability to do so may negatively affect our investment returns.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Advisor may, from time to time, possess material non-public information regarding our portfolio companies, limiting our investment discretion.</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Officers and employees of our Advisor may serve as directors of, or in a similar capacity with, our portfolio companies, the securities of which are purchased or sold on our behalf. If we obtain material non-public information with respect to such portfolio companies, or we become subject to trading restrictions under the internal trading policies of those portfolio companies or as a result of applicable law or regulations, we could be prohibited for a period of time from purchasing or disposing of the securities of such portfolio companies, and this prohibition may have an adverse effect on 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hold the debt securities of leveraged companies that may, due to the significant volatility of such companies, experience bankruptcy or similar financial distress.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Leveraged companies may experience bankruptcy, receivership or similar financial distress. The debt investments of distressed companies may not produce income, may require us to bear certain expenses or to make additional advances in order to protect our investment and may subject us to uncertainty as to when, in what manner (e.g., through liquidation, reorganization, receivership or bankruptcy) and for what value such distressed debt will eventually be satisfied. Proceeds received from such proceedings may not be income that satisfies the Qualifying Income Test for RICs and may not be in an amount sufficient to repay such expenses or advances. In the event that a plan of reorganization is adopted or a receivership is established, in exchange for the debt investment we currently hold, we may receive non-cash proceeds, including equity securities or license or royalty agreements with contingent payments, which may require significantly more of our management’s time and attention. In addition, if we take control of a distressed company in connection with a reorganization, it could require additional costs and significant amounts of our management’s time and attention.</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a portfolio company enters a bankruptcy process, we will be subject to a number of significant inherent risks. Many events in a bankruptcy proceeding are the product of contested matters and adversarial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of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Prepayments of our debt investments by our portfolio companies could adversely impact our results of operations and reduce our return on equity.</w:t>
      </w:r>
    </w:p>
    <w:p>
      <w:pPr>
        <w:spacing w:after="0" w:line="2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For example, most of our debt investments have historically been repaid prior to maturity by our portfolio companies. At the time of a liquidity event, such as a sale of the business, refinancing or public offering, many of our portfolio companies have availed themselves of the opportunity to repay our debt investments prior to maturity. Our investments generally allow for repayment at any time subject to certain penalties. When this occurs, we generally reinvest these proceeds in temporary investments, pending their future investment in new portfolio companies. These temporary investments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growth strategy could be adversely affected if government regulations, priorities and resources impacting the industries in which our portfolio companies operate change.</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Some of our portfolio companies operate in industries that are highly regulated by federal, state and/or local agencies. Changes in existing laws, rules or regulations, or judicial or administrative interpretations thereof, or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operating in the technology industry are subject to risks particular to that industry.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technology industry. Such portfolio companies face intense competition as their businesses are rapidly evolving and intensely competitive, and are subject to changing technology, shifting user needs, and frequent introductions of new products and services. The growth of certain technology sectors in which we focus (such as communications, networking, data storage, software, cloud computing, and internet and media) into a variety of new fields implicates new regulatory issues and may result in our portfolio companies in such sectors being subject to new regulations.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Portfolio companies in the technology industry may also have a limited number of suppliers of necessary components or a limited number of manufacturers for their products, and therefore face a risk of disruption to their manufacturing process if they are unable to find alternative suppliers when needed. In addition, litigation regarding intellectual property rights is common in the sectors of the technology industry in which we focus. See “–If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 Any of these factors could materially and adversely affect the operations of a portfolio company in this industry and, in turn, impair our ability to timely collect principal and interest payments owed to us.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companies operating in the life science industry are subject to extensive government regulation and certain other risks particular to that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our investment strategy, we have invested, and plan to invest in the future, in companies in the life science industry.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Such portfolio companies are subject to extensive regulation by the Food and Drug Administration and to a lesser extent, other federal and state agencies. If any of these portfolio companies fail to comply with applicable regulations, they could be subject to significant penalties and claims that could materially and adversely affect their operations. In addition, new laws, regulations or judicial interpretations of existing laws and regulations might adversely affect a portfolio company in this industry.</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successful and timely implementation of the business model of life science companies depends on their ability to adapt to changing technologies and introduce new products. The success of new product offerings will depend, in turn, on many factors, including the ability to properly anticipate and satisfy customer needs, obtain regulatory approvals on a timely basis, develop and manufacture products in an economic and timely manner, obtain or maintain advantageous positions with respect to intellectual property, and differentiate products from those of competitors.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the development of products (including medical devices or drugs) by life science companies requires significant research and development, clinical trials and regulatory approvals. The results of product development efforts may be affected by a number of factors, including the ability to innovate, develop and manufacture new products, complete clinical trials, obtain regulatory approvals and reimbursement by insurers in the United States (including Medicare and Medicaid) and abroad, or gain and maintain market approval of products. In addition, patents attained by others can preclude or delay the commercialization of a product. There can be no assurance that any products now in development will achieve technological feasibility, obtain regulatory approval, or gain market acceptance. Failure can occur at any point in the development process, including after significant funds have been invested. Products may fail to reach the market or may have only limited commercial success because of efficacy or safety concerns, failure to achieve positive clinical outcomes, inability to obtain necessary regulatory approvals, failure to achieve market adoption, limited scope of approved uses, excessive costs to manufacture, failure to establish or maintain intellectual property rights, infringement by others of a company’s intellectual property rights, or infringement by a company of intellectual property rights of others.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Portfolio companies in the life science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companies operating in the healthcare information and services industry are subject to extensive government regulation and certain other risks particular to that industry.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investments in the sustainability industry are subject to many risks, including volatility, intense competition, unproven technologies, periodic downturns and potential litigation.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investments in sustainability companies are subject to substantial operational risks, such as underestimated cost projections, unanticipated operation and maintenance expenses, loss of government subsidies, and inability to deliver cost-effective alternative energy solutions compared to traditional energy products. In addition, energy companies employ a variety of means of increasing cash flow, including increasing utilization of existing facilities, expanding operations through new construction or acquisitions, or securing additional long-term contracts. Thus, some energy companies may be subject to construction risk, acquisition risk or other risks arising from their specific business strategies. Furthermore, production levels for solar, wind and other renewable energies may be dependent upon adequate sunlight, wind, or biogas production, which can vary from market to market and period to period, resulting in volatility in production levels and profitability. In addition, our sustainability companies may have narrow product lines and small market shares, which tend to render them more vulnerable to competitors’ actions and market conditions, as well as to general economic downturns. The revenues, income (or losses) and valuations of sustainability companies can and often do fluctuate suddenly and dramatically and the markets in which sustainability companies operate are generally characterized by abrupt business cycles and intense competition. Demand for sustainability and renewable energy is also influenced by the available supply and prices for other energy products, such as coal, oil and natural gas. A decrease in prices in these energy products could reduce demand for alternative energy. Sustainability companies face potential litigation, including significant warranty and product liability claims, as well as class action and government claims. Such litigation could adversely affect the business and results of operations of our sustainability portfolio companies.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Sustainability companies are subject to extensive government regulation and certain other risks particular to the sectors in which they operate and our business and growth strategy could be adversely affected if government regulations, priorities and resources impacting such sectors change or if our portfolio companies fail to comply with such regulations.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investment strategy we invest in portfolio companies in sustainability sectors that may be subject to extensive regulation by foreign, U.S. federal, state and/or local agencies. Changes in existing laws, rules or regulations, or judicial or administrative interpretations thereof,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324"/>
        <w:spacing w:after="0" w:line="297" w:lineRule="auto"/>
        <w:rPr>
          <w:sz w:val="20"/>
          <w:szCs w:val="20"/>
          <w:color w:val="auto"/>
        </w:rPr>
      </w:pPr>
      <w:r>
        <w:rPr>
          <w:rFonts w:ascii="Arial" w:cs="Arial" w:eastAsia="Arial" w:hAnsi="Arial"/>
          <w:sz w:val="16"/>
          <w:szCs w:val="16"/>
          <w:color w:val="auto"/>
        </w:rPr>
        <w:t>In particular, there is considerable uncertainty about whether foreign, U.S., state and/or local governmental entities will enact or maintain legislation or regulatory programs that mandate reductions in greenhouse gas emissions or provide incentives for sustainability companies. Without such regulatory policies, investments in sustainability companies may not be economical and financing for sustainability companies may become unavailable, which could materially adversely affect the ability of our portfolio companies to repay the debt they owe to us. Any of these factors could materially and adversely affect the operations and financial condition of a portfolio company and, in turn, the ability of the portfolio company to repay the debt they owe to us.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value of our investments in our portfolio companies may decline if our portfolio companies are not able to commercialize their technology, products, business concepts or services. Additionally, although some of our portfolio companies may already have a commercially successful product or product line at the time of our investment, technology-related products and services often have a more limited market or life span than products in other industries. Thus, the ultimate success of these companies often depends on their ability to innovate continually in increasingly competitive markets. If they are unable to do so, our investment returns could be adversely affected and their ability to service their debt obligations to us over the life of a loan could be impaired. Our portfolio companies may be unable to acquire or develop successful new technologies and the intellectual property they currently hold may not remain viable. Even if our portfolio companies are able to develop commercially viable products, the market for new products and services is highly competitive and rapidly changing. Neither our portfolio companies nor we have any control over the pace of technology development. Commercial success is difficult to predict, and the marketing efforts of our portfolio companies may not be successful.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rely upon licenses for all or part of their intellectual property.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portfolio company may license all or part of its intellectual property from another unrelated party. While the portfolio company may continue development on that licensed intellectual property, it can be difficult to ascertain who has title to the intellectual property. We may also rely upon the portfolio company’s management team’s representations as to the nature of the licensing agreement. There are implications in workouts and in bankruptcy where intellectual property is not wholly owned by a portfolio company. Further, the licensor may have an actual or contingent claim on the intellectual property (for instance, a payment due upon change in control) that would supersede other claims in that asset in certain situations.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success and competitive position depends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debt investments.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the value of any collateral securing our investment.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324"/>
        <w:spacing w:after="0" w:line="257" w:lineRule="auto"/>
        <w:rPr>
          <w:sz w:val="20"/>
          <w:szCs w:val="20"/>
          <w:color w:val="auto"/>
        </w:rPr>
      </w:pPr>
      <w:r>
        <w:rPr>
          <w:rFonts w:ascii="Arial" w:cs="Arial" w:eastAsia="Arial" w:hAnsi="Arial"/>
          <w:sz w:val="18"/>
          <w:szCs w:val="18"/>
          <w:color w:val="auto"/>
        </w:rPr>
        <w:t xml:space="preserve">In some cases, we collateralize our debt investments with a secured collateral position in a portfolio company's assets, which may include a negative pledge or, to a lesser extent, no security interest on their intellectual property. In the event of a default on a debt investment, the intellectual property of the portfolio company would most likely be liquidated to provide proceeds to pay the creditors of the portfolio company. There can be no assurance that our security interest, if any, in the proceeds of the intellectual property will be enforceable in a court of law or bankruptcy court or that there will not be others with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credit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control any of our portfolio companies.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control, or expect to control in the future, any of our portfolio companies, even though our debt agreements may contain certain restrictive covenants that limit the business and operations of our portfolio companies. We also do not maintain, or intend to maintain in the future, a control position to the extent we own equity interests in any portfolio company. As a result, we are subject to the risk that a portfolio company in which we invest may make business decisions with which we disagree and the management of such company, as representatives of the holders of their common equity, may take risks or otherwise act in ways that do not serve our interests as debt investors. Due to the lack of liquidity of the investments that we typically hold in our portfolio companies, we may not be able to dispose of our investments in the event we disagree with the actions of a portfolio company and we may therefore, suffer a decrease in the value of our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invest in foreign portfolio companies or secure our investments with the assets of our portfolio companies’ foreign subsidiaries.</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invest in securities of foreign companies. Additionally, certain debt investments consisting of secured loans to portfolio companies with headquarters and primary operations located within the United States may be secured by the assets of a portfolio company’s foreign subsidiary. Investments involving foreign companies may involve greater risks. These risks include: (i) less publicly available information; (ii) varying levels of governmental regulation and supervision; and (iii) the difficulty of enforcing legal rights in a foreign jurisdiction and uncertainties as to the status, interpretation and application of laws. Moreover, foreign companies are generally not subject to uniform accounting, auditing and financial reporting standards, practices and requirements comparable to those applicable to United States companies. Debt investments secured by the assets of a portfolio company’s foreign subsidiary may be subject to various laws enacted in their home countries for the protection of debtors or creditors, which could adversely affect our ability to recover amounts owed. These insolvency considerations will differ depending on the country in which each foreign subsidiary is located and may differ depending on whether the foreign subsidiary is a non-sovereign or a sovereign entity. The economies of individual non-U.S. countries may also differ from the U.S. economy in such respects as growth of gross domestic product, rate of inflation, volatility of currency exchange rates, depreciation, capital reinvestment, resources self-sufficiency and balance of payments position. Accordingly, debt investments secured by the assets of a portfolio company’s foreign subsidiary could face risks which would not pertain to debt investments solely in U.S. portfolio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expected returns on warrants received in connection with our debt investments.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discussed above, we generally receive warrants in connection with our debt investments. If we do not receive the returns that are anticipated on the warrants, our investment returns on our portfolio companies, and the value of your investment in us, may be lower than expected.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invest a portion of our capital in high-quality short-term investments, which generate lower rates of return than those expected from investments made in accordance with our investment objective.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invest a portion of our capital in cash, cash equivalents, U.S. government securities, money market funds and other high-quality short-term investments. These securities may earn yields substantially lower than the income that we anticipate receiving once these proceeds are fully invested in accordance with our investment objective.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There is a risk that investors in our equity securities may not receive distributions, that our distributions may not grow over time or that a portion of distributions paid to you may be a return of capital.</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risk factors described in this report. In addition, due to the asset coverage test applicable to us as a BDC, we may be limited in our ability to make distributions. All distributions will be paid at the discretion of our Board and will depend on our earnings, our financial condition, maintenance of our ability to be subject to tax as a RIC, compliance with BDC regulation and such other factors as our Board may deem relevant from time to time. We cannot assure you that we will pay distributions to our stockholders in the future. Further, if we invest a greater amount of assets in equity securities that do not pay current dividends, the amount available for distribution could be reduced.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324"/>
        <w:spacing w:after="0" w:line="302" w:lineRule="auto"/>
        <w:rPr>
          <w:sz w:val="20"/>
          <w:szCs w:val="20"/>
          <w:color w:val="auto"/>
        </w:rPr>
      </w:pPr>
      <w:r>
        <w:rPr>
          <w:rFonts w:ascii="Arial" w:cs="Arial" w:eastAsia="Arial" w:hAnsi="Arial"/>
          <w:sz w:val="16"/>
          <w:szCs w:val="16"/>
          <w:color w:val="auto"/>
        </w:rPr>
        <w:t>On an annual basis, we must determine the extent to which any distributions we made were paid out of current or accumulated earnings, recognized capital gains or capital. Distributions that represent a return of capital (which is the return of your original investment in us, after subtracting sales load, fees and expenses directly or indirectly paid by you) rather than a distribution from earnings or profits, reduce your basis in our stock for U.S. federal income tax purposes, which may result in higher tax liability when the shares are sold, even if they have not increased in value or have lost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volatile and may decrease substantially.</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trading price of our common stock may fluctuate substantially and the liquidity of our common stock may be limited, in each case depending on many factors, some of which are beyond our control and may not be directly related to our operating performance. These factors include the following:</w:t>
      </w:r>
    </w:p>
    <w:p>
      <w:pPr>
        <w:spacing w:after="0" w:line="147"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in the market for BDCs from time to time;</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 demand for our shares of common stock;</w:t>
      </w:r>
    </w:p>
    <w:p>
      <w:pPr>
        <w:spacing w:after="0" w:line="225"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registered closed-end management investment companies, BDCs or other financial services companies;</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raise capital, borrow money or deploy or invest our capital;</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BDCs;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losing RIC status;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trends and other external factors;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departures of key personnel; or</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 major source of funding.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Advisor could be the target of litigation.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or our Advisor could become the target of securities class action litigation or other similar claims if our stock price fluctuates significantly or for other reasons. The outcome of any such proceedings could materially adversely affect our business, financial condition and/or operating results and could continue without resolution for long periods of time. Any litigation or other similar claims could consume substantial amounts of our management’s time and attention, and that time and attention and the devotion of associated resources could, at times, be disproportionate to the amounts at stake. Litigation and other claims are subject to inherent uncertainties, and a material adverse impact on our financial statements could occur for the period in which the effect of an unfavorable final outcome in litigation or other similar claims becomes probable and reasonably estimable. In addition, we could incur expenses associated with defending ourselves against litigation and other similar claims, and these expenses could be material to our earnings in future periods.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Shares of closed-end investment companies, including BDCs, frequently trade at a discount to their NAV, which is separate and distinct from the risk that our NAV per share may decline.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predict the price at which our common stock will trade. Shares of closed-end investment companies, including BDCs, frequently trade at a discount to their NAV and our stock may also be discounted in the market. This characteristic of closed-end investment companies is separate and distinct from the risk that our NAV per share may decline. We cannot predict whether shares of our common stock will trade above, at or below our NAV. In addition, if our common stock trades below its NAV, we will generally not be able to issue additional shares of our common stock at its market price without first obtaining the approval of our stockholders and our independent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volatility or loss of principal than alternative investment options. Our investments in portfolio companies may be highly speculative and aggressive, and therefore, an investment in our common stock may not be suitable for investors with lower risk tolerance.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other agreements and certain provisions of the Delaware General Corporation Law, or DGCL, could deter takeover attempts and have an adverse impact on the price of our common stock.</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DGCL, our certificate of incorporation and our bylaws contain provisions that may have the effect of discouraging a third party from making an acquisition proposal for us. Among other things, our certificate of incorporation and bylaws:</w:t>
      </w:r>
    </w:p>
    <w:p>
      <w:pPr>
        <w:spacing w:after="0" w:line="170" w:lineRule="exact"/>
        <w:rPr>
          <w:sz w:val="20"/>
          <w:szCs w:val="20"/>
          <w:color w:val="auto"/>
        </w:rPr>
      </w:pPr>
    </w:p>
    <w:p>
      <w:pPr>
        <w:ind w:left="520" w:hanging="188"/>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for a classified board of directors, which may delay the ability of our stockholders to change the membership of a majority of our Board;</w:t>
      </w:r>
    </w:p>
    <w:p>
      <w:pPr>
        <w:spacing w:after="0" w:line="236" w:lineRule="exact"/>
        <w:rPr>
          <w:rFonts w:ascii="Arial" w:cs="Arial" w:eastAsia="Arial" w:hAnsi="Arial"/>
          <w:sz w:val="17"/>
          <w:szCs w:val="17"/>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to thwart a takeover attempt;</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vacancies on the Board, including newly created directorships, may be filled only by a majority vote of directors then in office;</w:t>
      </w:r>
    </w:p>
    <w:p>
      <w:pPr>
        <w:spacing w:after="0" w:line="236" w:lineRule="exact"/>
        <w:rPr>
          <w:rFonts w:ascii="Arial" w:cs="Arial" w:eastAsia="Arial" w:hAnsi="Arial"/>
          <w:sz w:val="17"/>
          <w:szCs w:val="17"/>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the calling of special meetings of stockholders;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supermajority voting to effect certain amendments to our certificate of incorporation and our bylaws;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stockholders to provide advance notice of new business proposals and director nominations under specific procedures.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These anti-takeover provisions may inhibit a change in control in circumstances that could give the holders of our common stock the opportunity to realize a premium over the market price of our common stock. It is a default under our Key Facility if (i) a person or group of persons (within the meaning of the Exchange Act) acquires beneficial ownership of 20% or more of our issued and outstanding common stock or (ii) during any twelve-month period, individuals who at the beginning of such period constituted our Board cease for any reason, other than death or disability, to constitute a majority of the directors in office. If either event were to occur, Key could accelerate our repayment obligations under, and/or terminate, our Key Facility.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elect to issue preferred stock, holders of any such preferred stock will have the right to elect members of our Board and have class voting rights on certain matters.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ability to be subject to tax as a RIC.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308" w:lineRule="auto"/>
        <w:rPr>
          <w:sz w:val="20"/>
          <w:szCs w:val="20"/>
          <w:color w:val="auto"/>
        </w:rPr>
      </w:pPr>
      <w:r>
        <w:rPr>
          <w:rFonts w:ascii="Arial" w:cs="Arial" w:eastAsia="Arial" w:hAnsi="Arial"/>
          <w:sz w:val="17"/>
          <w:szCs w:val="17"/>
          <w:b w:val="1"/>
          <w:bCs w:val="1"/>
          <w:i w:val="1"/>
          <w:iCs w:val="1"/>
          <w:color w:val="auto"/>
        </w:rPr>
        <w:t>Your interest in us may be diluted if you do not fully exercise your subscription rights in any rights offering. In addition, if the subscription price is less than our NAV per share, then you will experience an immediate dilution of the aggregate NAV of your shares.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we issue subscription rights, stockholders who do not fully exercise their rights should expect that they will, at the completion of a rights offering, own a smaller proportional interest in us than would otherwise be the case if they fully exercised their rights. Such dilution is not currently determinable because it is not known what proportion of the shares will be purchased as a result of such rights offering. Any such dilution will disproportionately affect nonexercising stockholders. If the subscription price per share is substantially less than the current NAV per share, this dilution could be substantial.</w:t>
      </w:r>
    </w:p>
    <w:p>
      <w:pPr>
        <w:spacing w:after="0" w:line="18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addition, if the subscription price is less than our NAV per share, our stockholders would experience an immediate dilution of the aggregate NAV of their shares as a result of such rights offering. The amount of any decrease in NAV is not predictable because it is not known at this time what the subscription price and NAV per share will be on the expiration date of the rights offering or what proportion of the shares will be purchased as a result of such rights offering. Such dilution could be substantial.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offerings of our common stock may incur immediate dilution upon the closing of an offering.</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public offering price for any offering of shares of our common stock is higher than the book value per share of our outstanding common stock, investors purchasing shares of common stock in any offering will pay a price per share that exceeds the tangible book value per share after such offering.</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common stock at a discount to our NAV per share, stockholders who do not participate in such sale will experience immediate dilution in an amount that may be material.</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issuance or sale by us of shares of our common stock at a discount to NAV poses a risk of dilution to our current stockholders. In particular, stockholders who do not purchase additional shares at or below the discounted price in proportion to their current ownership will experience an immediate decrease in NAV per share (as well as in the aggregate NAV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 or sale. In addition, such sales may adversely affect the price at which our common stock trades.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experience dilution in their ownership percentage if they do not participate in our dividend reinvestment plan.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distributions payable to stockholders that are participants in our dividend reinvestment plan, or DRIP, are automatically reinvested in shares of our common stock. As a result, stockholders that do not participate in the DRIP will experience dilution in their ownership interest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receive shares of our common stock as dividends, which could result in adverse tax consequences to them.</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order to satisfy the Annual Distribution Requirement, we have the ability to declare a large portion of a dividend in shares of our common stock instead of in cash. As long as a portion of such dividend is paid in cash (which portion may be as low as 20% of such dividend) and certain requirements are met, the entire distribution will be treated as a dividend for U.S. federal income tax purposes. As a result, a stockholder generally would be subject to tax on 100% of the fair market value of the dividend on the date the dividend is received by the stockholder in the same manner as a cash dividend, even though most of the dividend was paid in shares of our common stock. We currently do not intend to pay dividends in shares of our common stock.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The trading market or market value of our publicly issued Debt Securities that we may issue may fluctuate.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issuance, any publicly issued debt securities that we may issue will not have an established trading market. We cannot assure you that a trading market for our publicly issued Debt Securities will ever develop or, if developed, will be maintained. In addition to our creditworthiness, many factors may materially adversely affect the trading market for, and market value of, our publicly issued Debt Securities. These factors include:</w:t>
      </w:r>
    </w:p>
    <w:p>
      <w:pPr>
        <w:spacing w:after="0" w:line="166" w:lineRule="exact"/>
        <w:rPr>
          <w:sz w:val="20"/>
          <w:szCs w:val="20"/>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our Debt Securities;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or repayment features, if any, of our Debt Securities;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rate of interest higher or lower than the rate borne by our Debt Securities.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should also be aware that there may be a limited number of buyers when you decide to sell your debt securities. This too may materially adversely affect the market value of our Debt Securities or the trading market for our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redemption may materially adversely affect your return on the debt securities that we may issue.</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we issue debt securities that are redeemable at our option, we may choose to redeem the debt securities at times when prevailing interest rates are lower than the interest rate paid on our Debt Securities. In addition, if such debt securities are subject to mandatory redemption, we may be required to redeem our Debt Securities at times when prevailing interest rates are lower than the interest rate paid on our Debt Securities. In this circumstance, you may not be able to reinvest the redemption proceeds in a comparable security at an effective interest rate as high as your debt securities being redeemed.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ratings provided by third party credit rating agencies may not reflect all risks of an investment in Debt Securities that we may issue.</w:t>
      </w:r>
    </w:p>
    <w:p>
      <w:pPr>
        <w:spacing w:after="0" w:line="2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Credit ratings provided by third party credit rating agencies are an assessment by third parties of our ability to pay our obligations. Consequently, real or anticipated changes in our credit ratings will generally affect the market value of Debt Securities that we may issue. Credit ratings provided by third party credit rating agencies, however, may not reflect the potential impact of risks related to market conditions generally or other factors discussed above on the market value of or trading market for any publicly issued debt securities that we may issue. Because we approved increasing the amount we are permitted to borrow under the 1940 Act, our credit rating may decline and we may incur additional costs in borrowing.</w:t>
      </w:r>
    </w:p>
    <w:p>
      <w:pPr>
        <w:spacing w:after="0" w:line="17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Sales in the public market of substantial amounts of our common stock may have an adverse effect on the market price of our common stock, and the registration of a substantial amount of insider shares, whether or not actually sold, may have a negative impact on the market price of our common stock.</w:t>
      </w:r>
    </w:p>
    <w:p>
      <w:pPr>
        <w:spacing w:after="0" w:line="1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whether or not actually sold, could adversely affect the prevailing market price of our common stock. If this occurs and continues, it could impair our ability to raise additional capital through the sale of equity securities should we desire to do so.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Debt Securities are unsecured and therefore are effectively subordinated to any secured indebtedness we have currently incurred or may incur in the future.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80808"/>
        </w:rPr>
        <w:t>Our Debt Securities are not secured by any of our assets or any of the assets of our subsidiaries. As a result, our Debt Securities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w:t>
      </w:r>
      <w:r>
        <w:rPr>
          <w:rFonts w:ascii="Arial" w:cs="Arial" w:eastAsia="Arial" w:hAnsi="Arial"/>
          <w:sz w:val="17"/>
          <w:szCs w:val="17"/>
          <w:color w:val="2B2B2B"/>
        </w:rPr>
        <w:t>,</w:t>
      </w:r>
      <w:r>
        <w:rPr>
          <w:rFonts w:ascii="Arial" w:cs="Arial" w:eastAsia="Arial" w:hAnsi="Arial"/>
          <w:sz w:val="17"/>
          <w:szCs w:val="17"/>
          <w:color w:val="080808"/>
        </w:rPr>
        <w:t xml:space="preserve"> dissolution</w:t>
      </w:r>
      <w:r>
        <w:rPr>
          <w:rFonts w:ascii="Arial" w:cs="Arial" w:eastAsia="Arial" w:hAnsi="Arial"/>
          <w:sz w:val="17"/>
          <w:szCs w:val="17"/>
          <w:color w:val="2B2B2B"/>
        </w:rPr>
        <w:t>,</w:t>
      </w:r>
      <w:r>
        <w:rPr>
          <w:rFonts w:ascii="Arial" w:cs="Arial" w:eastAsia="Arial" w:hAnsi="Arial"/>
          <w:sz w:val="17"/>
          <w:szCs w:val="17"/>
          <w:color w:val="080808"/>
        </w:rPr>
        <w:t xml:space="preserve"> bankruptcy or other similar proceeding</w:t>
      </w:r>
      <w:r>
        <w:rPr>
          <w:rFonts w:ascii="Arial" w:cs="Arial" w:eastAsia="Arial" w:hAnsi="Arial"/>
          <w:sz w:val="17"/>
          <w:szCs w:val="17"/>
          <w:color w:val="2B2B2B"/>
        </w:rPr>
        <w:t>,</w:t>
      </w:r>
      <w:r>
        <w:rPr>
          <w:rFonts w:ascii="Arial" w:cs="Arial" w:eastAsia="Arial" w:hAnsi="Arial"/>
          <w:sz w:val="17"/>
          <w:szCs w:val="17"/>
          <w:color w:val="080808"/>
        </w:rPr>
        <w:t xml:space="preserve">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Debt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Our Debt Securities are structurally subordinated to the indebtedness and other liabilities of our subsidiaries.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Debt Securities are obligations exclusively of Horizon Technology Finance Corporation, and not of any of our subsidiaries. None of our subsidiaries is a guarantor of our Debt Securities and our Debt Securities are not required to be guaranteed by any subsidiaries we may acquire or create in the future. The assets of such subsidiaries are not directly available to satisfy the claims of our creditors, including holders of our Debt Securities.</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our Debt Securities)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our Debt Securities are structurally subordinated to all indebtedness and other liabilities (including trade payables) of any of our subsidiaries and any subsidiaries that we may in the future acquire or establish as financing vehicles or otherwise.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our subsidiaries may incur substantial additional indebtedness in the future, all of which would be structurally senior to our Debt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our Debt Securities contains limited protection for holders of our Debt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governing our Debt Securities offers limited protection to holders of our Debt Securities. The terms of the indenture do not restrict our or any of our subsidiaries’ ability to engage in, or otherwise be a party to, a variety of corporate transactions, circumstances or events that could have a material adverse impact on investments in our Debt Securities. In particular, the terms of the indenture do not place any restrictions on our or our subsidiaries’ ability to:</w:t>
      </w:r>
    </w:p>
    <w:p>
      <w:pPr>
        <w:spacing w:after="0" w:line="187" w:lineRule="exact"/>
        <w:rPr>
          <w:sz w:val="20"/>
          <w:szCs w:val="20"/>
          <w:color w:val="auto"/>
        </w:rPr>
      </w:pPr>
    </w:p>
    <w:p>
      <w:pPr>
        <w:jc w:val="both"/>
        <w:ind w:left="980" w:hanging="324"/>
        <w:spacing w:after="0" w:line="270"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080808"/>
        </w:rPr>
        <w:t xml:space="preserve">issue securities or otherwise incur additional indebtedness or other obligations, including (1) any indebtedness or other obligations that would be equal in right of payment to our Debt Securities, (2) any indebtedness or </w:t>
      </w:r>
      <w:r>
        <w:rPr>
          <w:rFonts w:ascii="Arial" w:cs="Arial" w:eastAsia="Arial" w:hAnsi="Arial"/>
          <w:sz w:val="17"/>
          <w:szCs w:val="17"/>
          <w:color w:val="1C1C1C"/>
        </w:rPr>
        <w:t>other</w:t>
      </w:r>
      <w:r>
        <w:rPr>
          <w:rFonts w:ascii="Arial" w:cs="Arial" w:eastAsia="Arial" w:hAnsi="Arial"/>
          <w:sz w:val="17"/>
          <w:szCs w:val="17"/>
          <w:color w:val="080808"/>
        </w:rPr>
        <w:t xml:space="preserve"> obligations that would be </w:t>
      </w:r>
      <w:r>
        <w:rPr>
          <w:rFonts w:ascii="Arial" w:cs="Arial" w:eastAsia="Arial" w:hAnsi="Arial"/>
          <w:sz w:val="17"/>
          <w:szCs w:val="17"/>
          <w:color w:val="1C1C1C"/>
        </w:rPr>
        <w:t>secured and</w:t>
      </w:r>
      <w:r>
        <w:rPr>
          <w:rFonts w:ascii="Arial" w:cs="Arial" w:eastAsia="Arial" w:hAnsi="Arial"/>
          <w:sz w:val="17"/>
          <w:szCs w:val="17"/>
          <w:color w:val="080808"/>
        </w:rPr>
        <w:t xml:space="preserve"> therefore rank effectively senior in </w:t>
      </w:r>
      <w:r>
        <w:rPr>
          <w:rFonts w:ascii="Arial" w:cs="Arial" w:eastAsia="Arial" w:hAnsi="Arial"/>
          <w:sz w:val="17"/>
          <w:szCs w:val="17"/>
          <w:color w:val="1C1C1C"/>
        </w:rPr>
        <w:t>right</w:t>
      </w:r>
      <w:r>
        <w:rPr>
          <w:rFonts w:ascii="Arial" w:cs="Arial" w:eastAsia="Arial" w:hAnsi="Arial"/>
          <w:sz w:val="17"/>
          <w:szCs w:val="17"/>
          <w:color w:val="080808"/>
        </w:rPr>
        <w:t xml:space="preserve"> of payment to our Debt Securities to the extent of the values </w:t>
      </w:r>
      <w:r>
        <w:rPr>
          <w:rFonts w:ascii="Arial" w:cs="Arial" w:eastAsia="Arial" w:hAnsi="Arial"/>
          <w:sz w:val="17"/>
          <w:szCs w:val="17"/>
          <w:color w:val="1C1C1C"/>
        </w:rPr>
        <w:t>of</w:t>
      </w:r>
      <w:r>
        <w:rPr>
          <w:rFonts w:ascii="Arial" w:cs="Arial" w:eastAsia="Arial" w:hAnsi="Arial"/>
          <w:sz w:val="17"/>
          <w:szCs w:val="17"/>
          <w:color w:val="080808"/>
        </w:rPr>
        <w:t xml:space="preserve"> the assets securing such debt, (3) indebtedness of ours that is guaranteed by one or more of our subsidiaries and which therefore is structurally senior to our Debt Securities and (4) securities, indebtedness or obligations issued or incurred by our </w:t>
      </w:r>
      <w:r>
        <w:rPr>
          <w:rFonts w:ascii="Arial" w:cs="Arial" w:eastAsia="Arial" w:hAnsi="Arial"/>
          <w:sz w:val="17"/>
          <w:szCs w:val="17"/>
          <w:color w:val="1C1C1C"/>
        </w:rPr>
        <w:t>subsidiaries</w:t>
      </w:r>
      <w:r>
        <w:rPr>
          <w:rFonts w:ascii="Arial" w:cs="Arial" w:eastAsia="Arial" w:hAnsi="Arial"/>
          <w:sz w:val="17"/>
          <w:szCs w:val="17"/>
          <w:color w:val="080808"/>
        </w:rPr>
        <w:t xml:space="preserve"> that would be </w:t>
      </w:r>
      <w:r>
        <w:rPr>
          <w:rFonts w:ascii="Arial" w:cs="Arial" w:eastAsia="Arial" w:hAnsi="Arial"/>
          <w:sz w:val="17"/>
          <w:szCs w:val="17"/>
          <w:color w:val="1C1C1C"/>
        </w:rPr>
        <w:t>senior</w:t>
      </w:r>
      <w:r>
        <w:rPr>
          <w:rFonts w:ascii="Arial" w:cs="Arial" w:eastAsia="Arial" w:hAnsi="Arial"/>
          <w:sz w:val="17"/>
          <w:szCs w:val="17"/>
          <w:color w:val="080808"/>
        </w:rPr>
        <w:t xml:space="preserve"> to our equity interests in </w:t>
      </w:r>
      <w:r>
        <w:rPr>
          <w:rFonts w:ascii="Arial" w:cs="Arial" w:eastAsia="Arial" w:hAnsi="Arial"/>
          <w:sz w:val="17"/>
          <w:szCs w:val="17"/>
          <w:color w:val="1C1C1C"/>
        </w:rPr>
        <w:t>our</w:t>
      </w:r>
      <w:r>
        <w:rPr>
          <w:rFonts w:ascii="Arial" w:cs="Arial" w:eastAsia="Arial" w:hAnsi="Arial"/>
          <w:sz w:val="17"/>
          <w:szCs w:val="17"/>
          <w:color w:val="080808"/>
        </w:rPr>
        <w:t xml:space="preserve"> subsidiaries and therefore rank structurally </w:t>
      </w:r>
      <w:r>
        <w:rPr>
          <w:rFonts w:ascii="Arial" w:cs="Arial" w:eastAsia="Arial" w:hAnsi="Arial"/>
          <w:sz w:val="17"/>
          <w:szCs w:val="17"/>
          <w:color w:val="1C1C1C"/>
        </w:rPr>
        <w:t xml:space="preserve">senior </w:t>
      </w:r>
      <w:r>
        <w:rPr>
          <w:rFonts w:ascii="Arial" w:cs="Arial" w:eastAsia="Arial" w:hAnsi="Arial"/>
          <w:sz w:val="17"/>
          <w:szCs w:val="17"/>
          <w:color w:val="080808"/>
        </w:rPr>
        <w:t>to our Debt Securities with</w:t>
      </w:r>
      <w:r>
        <w:rPr>
          <w:rFonts w:ascii="Arial" w:cs="Arial" w:eastAsia="Arial" w:hAnsi="Arial"/>
          <w:sz w:val="17"/>
          <w:szCs w:val="17"/>
          <w:color w:val="1C1C1C"/>
        </w:rPr>
        <w:t xml:space="preserve"> respect </w:t>
      </w:r>
      <w:r>
        <w:rPr>
          <w:rFonts w:ascii="Arial" w:cs="Arial" w:eastAsia="Arial" w:hAnsi="Arial"/>
          <w:sz w:val="17"/>
          <w:szCs w:val="17"/>
          <w:color w:val="080808"/>
        </w:rPr>
        <w:t>to the assets of</w:t>
      </w:r>
      <w:r>
        <w:rPr>
          <w:rFonts w:ascii="Arial" w:cs="Arial" w:eastAsia="Arial" w:hAnsi="Arial"/>
          <w:sz w:val="17"/>
          <w:szCs w:val="17"/>
          <w:color w:val="1C1C1C"/>
        </w:rPr>
        <w:t xml:space="preserve"> our </w:t>
      </w:r>
      <w:r>
        <w:rPr>
          <w:rFonts w:ascii="Arial" w:cs="Arial" w:eastAsia="Arial" w:hAnsi="Arial"/>
          <w:sz w:val="17"/>
          <w:szCs w:val="17"/>
          <w:color w:val="080808"/>
        </w:rPr>
        <w:t>subsidiaries, in each case other than an incurrence of indebtedness or other</w:t>
      </w:r>
      <w:r>
        <w:rPr>
          <w:rFonts w:ascii="Arial" w:cs="Arial" w:eastAsia="Arial" w:hAnsi="Arial"/>
          <w:sz w:val="17"/>
          <w:szCs w:val="17"/>
          <w:color w:val="1C1C1C"/>
        </w:rPr>
        <w:t xml:space="preserve"> </w:t>
      </w:r>
      <w:r>
        <w:rPr>
          <w:rFonts w:ascii="Arial" w:cs="Arial" w:eastAsia="Arial" w:hAnsi="Arial"/>
          <w:sz w:val="17"/>
          <w:szCs w:val="17"/>
          <w:color w:val="080808"/>
        </w:rPr>
        <w:t xml:space="preserve">obligation that would cause a violation </w:t>
      </w:r>
      <w:r>
        <w:rPr>
          <w:rFonts w:ascii="Arial" w:cs="Arial" w:eastAsia="Arial" w:hAnsi="Arial"/>
          <w:sz w:val="17"/>
          <w:szCs w:val="17"/>
          <w:color w:val="1C1C1C"/>
        </w:rPr>
        <w:t>of</w:t>
      </w:r>
      <w:r>
        <w:rPr>
          <w:rFonts w:ascii="Arial" w:cs="Arial" w:eastAsia="Arial" w:hAnsi="Arial"/>
          <w:sz w:val="17"/>
          <w:szCs w:val="17"/>
          <w:color w:val="080808"/>
        </w:rPr>
        <w:t xml:space="preserve"> Section 18(a)(1)(A) of the 1940 Act as modified by Section 61(a)(l) of the 1940 Act or any </w:t>
      </w:r>
      <w:r>
        <w:rPr>
          <w:rFonts w:ascii="Arial" w:cs="Arial" w:eastAsia="Arial" w:hAnsi="Arial"/>
          <w:sz w:val="17"/>
          <w:szCs w:val="17"/>
          <w:color w:val="1C1C1C"/>
        </w:rPr>
        <w:t>successor</w:t>
      </w:r>
      <w:r>
        <w:rPr>
          <w:rFonts w:ascii="Arial" w:cs="Arial" w:eastAsia="Arial" w:hAnsi="Arial"/>
          <w:sz w:val="17"/>
          <w:szCs w:val="17"/>
          <w:color w:val="080808"/>
        </w:rPr>
        <w:t xml:space="preserve"> provisions, whether or not we continue to be subject to such provisions </w:t>
      </w:r>
      <w:r>
        <w:rPr>
          <w:rFonts w:ascii="Arial" w:cs="Arial" w:eastAsia="Arial" w:hAnsi="Arial"/>
          <w:sz w:val="17"/>
          <w:szCs w:val="17"/>
          <w:color w:val="1C1C1C"/>
        </w:rPr>
        <w:t>of</w:t>
      </w:r>
      <w:r>
        <w:rPr>
          <w:rFonts w:ascii="Arial" w:cs="Arial" w:eastAsia="Arial" w:hAnsi="Arial"/>
          <w:sz w:val="17"/>
          <w:szCs w:val="17"/>
          <w:color w:val="080808"/>
        </w:rPr>
        <w:t xml:space="preserve"> the 1940 Act, (these provisions generally prohibit us from making additional borrowings, including through the issuance of additional debt or the sale of additional debt </w:t>
      </w:r>
      <w:r>
        <w:rPr>
          <w:rFonts w:ascii="Arial" w:cs="Arial" w:eastAsia="Arial" w:hAnsi="Arial"/>
          <w:sz w:val="17"/>
          <w:szCs w:val="17"/>
          <w:color w:val="1C1C1C"/>
        </w:rPr>
        <w:t>securities,</w:t>
      </w:r>
      <w:r>
        <w:rPr>
          <w:rFonts w:ascii="Arial" w:cs="Arial" w:eastAsia="Arial" w:hAnsi="Arial"/>
          <w:sz w:val="17"/>
          <w:szCs w:val="17"/>
          <w:color w:val="080808"/>
        </w:rPr>
        <w:t xml:space="preserve"> unless our asset coverage, as defined in the 1940 Act, equals at least 150% </w:t>
      </w:r>
      <w:r>
        <w:rPr>
          <w:rFonts w:ascii="Arial" w:cs="Arial" w:eastAsia="Arial" w:hAnsi="Arial"/>
          <w:sz w:val="17"/>
          <w:szCs w:val="17"/>
          <w:color w:val="1C1C1C"/>
        </w:rPr>
        <w:t>after</w:t>
      </w:r>
      <w:r>
        <w:rPr>
          <w:rFonts w:ascii="Arial" w:cs="Arial" w:eastAsia="Arial" w:hAnsi="Arial"/>
          <w:sz w:val="17"/>
          <w:szCs w:val="17"/>
          <w:color w:val="080808"/>
        </w:rPr>
        <w:t xml:space="preserve"> such borrowings);</w:t>
      </w:r>
    </w:p>
    <w:p>
      <w:pPr>
        <w:spacing w:after="0" w:line="177"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pay dividends on, or purchase or redeem or make any payments in respect of capital stock or other securities ranking junior in right of payment to our Debt Securities, including subordinated indebtedness, in each case other than dividends, purchases, redemptions or payments that would cause a violation of Section 18(a)(1)(B) of the 1940 Act as modified by Section 61(a)(l)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in the 1940 Act, equals at least 150% at the time of the declaration of the dividend or distribution or the purchase and after deducting the amount of such dividend, distribution or purchase);</w:t>
      </w:r>
    </w:p>
    <w:p>
      <w:pPr>
        <w:spacing w:after="0" w:line="189" w:lineRule="exact"/>
        <w:rPr>
          <w:rFonts w:ascii="Arial" w:cs="Arial" w:eastAsia="Arial" w:hAnsi="Arial"/>
          <w:sz w:val="18"/>
          <w:szCs w:val="18"/>
          <w:color w:val="080808"/>
        </w:rPr>
      </w:pPr>
    </w:p>
    <w:p>
      <w:pPr>
        <w:ind w:left="980" w:hanging="324"/>
        <w:spacing w:after="0"/>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080808"/>
        </w:rPr>
      </w:pPr>
    </w:p>
    <w:p>
      <w:pPr>
        <w:ind w:left="980" w:hanging="324"/>
        <w:spacing w:after="0"/>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enter into transactions with affiliates;</w:t>
      </w:r>
    </w:p>
    <w:p>
      <w:pPr>
        <w:spacing w:after="0" w:line="225" w:lineRule="exact"/>
        <w:rPr>
          <w:rFonts w:ascii="Arial" w:cs="Arial" w:eastAsia="Arial" w:hAnsi="Arial"/>
          <w:sz w:val="18"/>
          <w:szCs w:val="18"/>
          <w:color w:val="080808"/>
        </w:rPr>
      </w:pPr>
    </w:p>
    <w:p>
      <w:pPr>
        <w:ind w:left="980" w:hanging="324"/>
        <w:spacing w:after="0"/>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create liens (including liens on the shares of our subsidiaries) or enter into sale and leaseback transactions;</w:t>
      </w:r>
    </w:p>
    <w:p>
      <w:pPr>
        <w:spacing w:after="0" w:line="225" w:lineRule="exact"/>
        <w:rPr>
          <w:rFonts w:ascii="Arial" w:cs="Arial" w:eastAsia="Arial" w:hAnsi="Arial"/>
          <w:sz w:val="18"/>
          <w:szCs w:val="18"/>
          <w:color w:val="080808"/>
        </w:rPr>
      </w:pPr>
    </w:p>
    <w:p>
      <w:pPr>
        <w:ind w:left="980" w:hanging="324"/>
        <w:spacing w:after="0"/>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make investments; or</w:t>
      </w:r>
    </w:p>
    <w:p>
      <w:pPr>
        <w:spacing w:after="0" w:line="225" w:lineRule="exact"/>
        <w:rPr>
          <w:rFonts w:ascii="Arial" w:cs="Arial" w:eastAsia="Arial" w:hAnsi="Arial"/>
          <w:sz w:val="18"/>
          <w:szCs w:val="18"/>
          <w:color w:val="080808"/>
        </w:rPr>
      </w:pPr>
    </w:p>
    <w:p>
      <w:pPr>
        <w:ind w:left="980" w:hanging="324"/>
        <w:spacing w:after="0"/>
        <w:tabs>
          <w:tab w:leader="none" w:pos="980" w:val="left"/>
        </w:tabs>
        <w:numPr>
          <w:ilvl w:val="0"/>
          <w:numId w:val="33"/>
        </w:numPr>
        <w:rPr>
          <w:rFonts w:ascii="Arial" w:cs="Arial" w:eastAsia="Arial" w:hAnsi="Arial"/>
          <w:sz w:val="18"/>
          <w:szCs w:val="18"/>
          <w:color w:val="080808"/>
        </w:rPr>
      </w:pPr>
      <w:r>
        <w:rPr>
          <w:rFonts w:ascii="Arial" w:cs="Arial" w:eastAsia="Arial" w:hAnsi="Arial"/>
          <w:sz w:val="18"/>
          <w:szCs w:val="18"/>
          <w:color w:val="080808"/>
        </w:rPr>
        <w:t>create restrictions on the payment of dividends or other amounts to us from our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indenture does not require us to offer to purchase our Debt Securities in connection with a change of control or any other event.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324"/>
        <w:spacing w:after="0" w:line="264" w:lineRule="auto"/>
        <w:rPr>
          <w:sz w:val="20"/>
          <w:szCs w:val="20"/>
          <w:color w:val="auto"/>
        </w:rPr>
      </w:pPr>
      <w:r>
        <w:rPr>
          <w:rFonts w:ascii="Arial" w:cs="Arial" w:eastAsia="Arial" w:hAnsi="Arial"/>
          <w:sz w:val="18"/>
          <w:szCs w:val="18"/>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Debt Securities may have important consequences for holders of our Debt Securities, including making it more difficult for us to satisfy our obligations with respect to our Debt Securities or negatively affecting the trading value of our Debt Securities.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In addition, other debt we issue or incur in the future could contain more protections for its holders than the indenture, including additional covenants and events of default. The issuance or incurrence of any such debt with incremental protections could affect the market for and trading levels and prices of our Debt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Debt Securities may not exist, which could limit holders’ ability to sell our Debt Securities or affect the market price of our Debt Securities.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cannot provide any assurances that an active trading market for our Debt Securities will exist in the future or that you will be able to sell our Debt Securities. Even if an active trading market does exist, our Debt Securities may trade at a discount from their initial offering price depending on prevailing interest rates, the market for similar securities, our credit ratings, if any, general economic conditions, our financial condition, performance and prospects and other factors. To the extent an active trading market does not exist, the liquidity and trading price for our Debt Securities may be harmed. Accordingly, you may be required to bear the financial risk of an investment in our Debt Securities for an indefinite period of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80808"/>
        </w:rPr>
        <w:t>The optional redemption provision may materially adversely affect the return on our Debt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Debt Securities may provide that such securities are redeemable in whole or in part prior to their maturity date at our sole option. We may choose to redeem our Debt Securities at times when prevailing interest rates are lower than the interest rate paid on our Debt Securities. In this circumstance, the holders of our Debt Securities may not be able to reinvest the redemption proceeds in a comparable security at an effective interest rate as high as our Debt Securities being redeemed.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our Debt Securities.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the Key Facility or the 2019-1 Securitization, or other indebtedness to which we may be a party that is not waived by the required lenders or holders thereunder,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Key Facility and the 2019-1 Securitization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Key Facility and the 2019-1 Securitization or other debt that we may incur in the future to avoid being in default. If we breach our covenants under the Key Facility or the 2019-1 Securitization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Key Facility and the 2019-1 Securitization, could proceed against the collateral securing the debt. Because the Key Facility and the 2019-1 Securitization have, and any future credit facilities will likely have, customary cross-default provisions, if the indebtedness thereunder or under any future credit facility is accelerated, we may be unable to repay or finance the amounts due.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080808"/>
        </w:rPr>
        <w:t>FATCA withholding may apply to payments to certain foreign entities.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Payments made under our Debt Securities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our Debt Securities, unless the FFI or NFFE complies with certain information reporting, withholding, identification, certification and related requirements imposed by FATCA. Depending upon the status of a holder and the status of an intermediary through which any Debt Securities are held, the holder could be subject to this 30% withholding tax in respect of any interest paid on our Debt Securities. Holders of our Debt Securities should consult their own tax advisors regarding FATCA and how it may affect their investment in our Debt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headquarters and our Advisor’s headquarters are currently located at 312 Farmington Avenue, Farmington, Connecticut 06032. We believe that our office facilities are suitable and adequate to our business.</w:t>
      </w:r>
    </w:p>
    <w:p>
      <w:pPr>
        <w:spacing w:after="0" w:line="1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Neither we nor our Advisor is currently subject to any material legal proceedings.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traded on Nasdaq, under the symbol “HRZN.” The last reported price for our common stock on March 2, 2020 was $12.30 per share, which represented a 4% premium to NAV per share. As of March 2, 2020 we had 16 stockholders of record, which did not include stockholders for whom shares are held in nominee or “street” name.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engage in any sales of unregistered equity securities during the years ended December 31, 2019,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26, 2019, our Board extended a previously authorized stock repurchase plan which allows us to repurchase up to $5.0 million of our outstanding common stock. Unless extended by our Board, the repurchase program will expire on the earlier of June 30, 2020 and the repurchase of $5.0 million of common stock. During the quarter ended December 31, 2019, we did not repurchase any shares of our common stock. During the years ended December 31, 2019 and 2018, we did not repurchase any shares of our common stock. During the year ended December 31, 2017, we repurchased 5,923 shares of our common stock at an average price of $9.97 on the open market at a total cost of $0.1 million. From the inception of the stock repurchase program through December 31, 2019, we repurchased 167,465 shares of our common stock at an average price of $11.22 on the open market at a total cost of $1.9 million.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shares repurchased by us may have the effect of maintaining the market price of our common stock or retarding a decline in the market price of the common stock, and, as a result, the price of our common stock may be higher than the price that otherwise might exist in the open market. In addition, as any shares repurchased pursuant to the stock repurchase plan will be purchased at a price below the NAV per share as reported in our most recent financial statements, share repurchases may have the effect of increasing our NAV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considered a return of capital to our common stockholders for U.S. federal income tax purposes. Thus, the source of distribution to our stockholders may be the original capital invested by the stockholder rather than our income or gains. Stockholders should read any written disclosure accompanying a distribution payment carefully and should not assume that the source of any distribution is our ordinary income or gains.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qualify to be subject to tax as a RIC, we must meet certain source-of-income, asset diversification and annual distribution requirements. Generally, in order to qualify as a RIC, we must derive at least 90% of our gross income during each tax year from dividends, interest, payments with respect to certain securities, loans, gains from the sale or other disposition of stock, securities or foreign currencies, or other income derived with respect to our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324"/>
        <w:spacing w:after="0" w:line="269" w:lineRule="auto"/>
        <w:rPr>
          <w:sz w:val="20"/>
          <w:szCs w:val="20"/>
          <w:color w:val="auto"/>
        </w:rPr>
      </w:pPr>
      <w:r>
        <w:rPr>
          <w:rFonts w:ascii="Arial" w:cs="Arial" w:eastAsia="Arial" w:hAnsi="Arial"/>
          <w:sz w:val="17"/>
          <w:szCs w:val="17"/>
          <w:color w:val="auto"/>
        </w:rPr>
        <w:t>In addition, in order to be eligible for the special tax treatment accorded to RICs and to avoid the imposition of corporate level tax on the income and gains we distribute to our stockholders, each tax year we are required under the Code to distribute as dividends of an amount generally at least 90% of our investment company taxable income, determined without regard to any deduction for dividends paid to our stockholders. We refer to such amount as the Annual Distribution Requirement in this annual report on Form 10-K. Additionally, we must distribute, in respect of each calendar year, dividends of an amount generally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or capital gain net income for preceding years that was not distributed during such years and on which we previously did not incur any U.S. federal income tax in order to avoid the imposition of a 4% U.S. federal excise tax. If we fail to qualify as a RIC for any reason and become subject to corporate income tax, the resulting corporate income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8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distributions into the next tax year and pay a 4% U.S. federal excise tax on such undistributed income. Distributions of any such carryover taxable income must be made through a distribution declared as of the earlier of the filing date of the corporate income tax return related to the tax year in which such taxable income was</w:t>
      </w:r>
    </w:p>
    <w:p>
      <w:pPr>
        <w:jc w:val="both"/>
        <w:spacing w:after="0" w:line="229" w:lineRule="auto"/>
        <w:rPr>
          <w:sz w:val="20"/>
          <w:szCs w:val="20"/>
          <w:color w:val="auto"/>
        </w:rPr>
      </w:pPr>
      <w:r>
        <w:rPr>
          <w:rFonts w:ascii="Arial" w:cs="Arial" w:eastAsia="Arial" w:hAnsi="Arial"/>
          <w:sz w:val="18"/>
          <w:szCs w:val="18"/>
          <w:color w:val="auto"/>
        </w:rPr>
        <w:t>generated or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ninth month following the end of such tax year, in order to count towards the satisfaction of the Annual Distribution Requirement for the tax year in which such taxable income was generated. We can offer no assurance that we will achieve results that will permit the payment of any cash distributions and, if we issue senior securities, we may be prohibited from making distributions if doing so causes us to fail to maintain the asset coverage stipulated by the 1940 Act or if distributions are limited by the terms of any of our borrowings. See “Item 1. Business — Regulation — Taxation as a RIC.”</w:t>
      </w:r>
    </w:p>
    <w:p>
      <w:pPr>
        <w:spacing w:after="0" w:line="2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adopted an “opt out” DRIP for our common stockholders. As a result, if we make a distribution, then stockholders’ cash distributions are automatically reinvested in additional shares of our common stock, unless they specifically opt out of the DRIP. If a stockholder opts out, that stockholder receives cash distributions. Although distributions paid in the form of additional shares of common stock are generally subject to U.S. federal, state and local taxes, stockholders participating in our DRIP do not receive any corresponding cash distributions with which to pay any such applicable taxes. We may use newly issued shares to implement the DRIP, or we may purchase shares in the open market in connection with our obligations under the DRIP.</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Wells Fargo BDC Index, for the period from December 31, 2014 through December 31, 2019. The graph assumes that, on December 31, 2014, a person invested $100 in each of our common stock, the S&amp;P 500 Index and the Wells Fargo BDC Index. The graph measures total stockholder return, which takes into account both changes in stock price and distributions. It assumes that distributions paid are invested in like securities. The graph and other information furnished under this Part II Item 5 of our annual report on Form 10-K shall not be deemed to be “soliciting material” or to be “filed” with the SEC or subject to Regulation 14A or 14C, or to the liabilities of Section 18 of the Exchange Act.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129540</wp:posOffset>
            </wp:positionV>
            <wp:extent cx="5771515" cy="4193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1515" cy="419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20"/>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selected consolidated financial data of the Company as of December 31, 2019, 2018, 2017, 2016 and 2015, and for the years ended December 31, 2019, 2018, 2017, 2016 and 2015 are derived from the consolidated financial statements that have been audited by RSM US LLP, an independent registered public accounting firm. These selected financial data should be read in conjunction with our financial statements and related notes thereto and “Management’s Discussion and Analysis of Financial Condition and Results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vMerge w:val="restart"/>
          </w:tcPr>
          <w:p>
            <w:pPr>
              <w:spacing w:after="0"/>
              <w:rPr>
                <w:sz w:val="20"/>
                <w:szCs w:val="20"/>
                <w:color w:val="auto"/>
              </w:rPr>
            </w:pPr>
            <w:r>
              <w:rPr>
                <w:rFonts w:ascii="Arial" w:cs="Arial" w:eastAsia="Arial" w:hAnsi="Arial"/>
                <w:sz w:val="18"/>
                <w:szCs w:val="18"/>
                <w:color w:val="auto"/>
              </w:rPr>
              <w:t>(Dollars in thousands, except per share data and</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8"/>
                <w:szCs w:val="18"/>
                <w:b w:val="1"/>
                <w:bCs w:val="1"/>
                <w:color w:val="auto"/>
                <w:w w:val="98"/>
              </w:rPr>
              <w:t>As of and for the years ended December 31,</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company counts)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31,090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25,777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32,984</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Performance based incentive fee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4,393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2"/>
              </w:rPr>
              <w:t>Base management and performance based incentive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fees waived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20,709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Provision (credit) for excise tax</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(21,191)</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(7,776)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18,485</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4"/>
              </w:rPr>
              <w:t>Net increase (decrease) in net assets resulting from</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13,010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9,591</w:t>
            </w:r>
          </w:p>
        </w:tc>
        <w:tc>
          <w:tcPr>
            <w:tcW w:w="28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(4,913)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11,856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Dollar amount of distributions declared</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13,837</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3"/>
              </w:rPr>
              <w:t>Net change in unrealized appreciation (depreciation)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on investments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increase (decrease) in net assets resulting from</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 share distributions declared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319,551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248,441</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222,099</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194,003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250,267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30,629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344,001</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266,749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234,146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239,252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280,896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126,853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114,954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159,946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132,492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99,071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121,145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134,257</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139,192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159,751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Weighted yield on debt investments at fair value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Weighted yield on all investments at fair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Number of portfolio companies at period end: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Debt 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Warrants investments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48"/>
        </w:trPr>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62</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ind w:left="2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and related notes thereto appearing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annual report on Form 10-K,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annual report on Form 10-K involve risks and uncertainties, including statements as to:</w:t>
      </w:r>
    </w:p>
    <w:p>
      <w:pPr>
        <w:spacing w:after="0" w:line="154" w:lineRule="exact"/>
        <w:rPr>
          <w:sz w:val="20"/>
          <w:szCs w:val="20"/>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23"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560" w:right="20" w:hanging="187"/>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Advisor;</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RIC and as a BDC;</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560" w:hanging="187"/>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SBCAA on our operations and the BDC industry;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fund unfunded commitments, including unfunded commitments.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“Item 1A – Risk Factors” and elsewhere in our annual report on Form 10-K.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annual report on Form 10-K, whether as a result of new information, future events or otherwise, you are advised to consult any additional disclosures that we may make directly to you or through reports that we in the future may file with the SEC, including periodic reports on Form 10-Q and current reports on Form 8-K.</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Exchange Act, the “safe harbor” provisions of the Private Securities Litigation Reform Act of 1995 do not apply to statements made in connection with this annual report on Form 10-K or any quarterly reports we file under the Exchange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specialty finance company that lends to and invests in development-stage companies in our Target Industries. Our investment objective is to maximize our investment portfolio’s total return by generating current income from the debt investments we make and capital appreciation from the warrants we receive when making such debt investments. We are focused on making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Senior Term Loans. As of December 31, 2019, 100%, or $288.4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1940 Act. In addition, for U.S. federal income tax purposes, we have elected to be treated as a RIC under Subchapter M of the Code. As a BDC, we are required to comply with regulatory requirements, including limitations on our use of debt. We are permitted to, and expect to, finance our investments through borrowings. Section 61(a)(2) of the 1940 Act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investment activities, and our day-to-day operations, are managed by our Advisor and supervised by our Board, of which a majority of the members are independent of us. Under the Investment Management Agreement, we have agreed to pay our Advisor a base management fee and an incentive fee for its advisory services to us. We have also entered into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portfolio by type of investment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2019</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Total</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64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Portfolio</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10,829</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9,324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319,551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64</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color w:val="auto"/>
        </w:rPr>
        <w:t>The following table shows total portfolio investment activity as of and for the years ended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2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248,441</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222,099</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New debt investments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200,832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111,725</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2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(10,468)</w:t>
            </w: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2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183,332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(24,254)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(60,185)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New equity</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Warrants received in settlement of fee income</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(4,293)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Distributions from controlled affiliate investment</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(1,501)</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Ending portfolio</w:t>
            </w:r>
          </w:p>
        </w:tc>
        <w:tc>
          <w:tcPr>
            <w:tcW w:w="2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debt investments by industry sector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Biotechnology</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19,369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Drug Delivery</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Medical Device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59,477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46,162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21.3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10,539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Consumer-Related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20,491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Data Storage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24,452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Internet and Media</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Materials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8,410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8,372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Management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Semiconductors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3,413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51,069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Healthcare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13,864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23,482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10.9</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6" w:name="page67"/>
    <w:bookmarkEnd w:id="66"/>
    <w:p>
      <w:pPr>
        <w:jc w:val="both"/>
        <w:ind w:firstLine="324"/>
        <w:spacing w:after="0" w:line="286" w:lineRule="auto"/>
        <w:rPr>
          <w:sz w:val="20"/>
          <w:szCs w:val="20"/>
          <w:color w:val="auto"/>
        </w:rPr>
      </w:pPr>
      <w:r>
        <w:rPr>
          <w:rFonts w:ascii="Arial" w:cs="Arial" w:eastAsia="Arial" w:hAnsi="Arial"/>
          <w:sz w:val="17"/>
          <w:szCs w:val="17"/>
          <w:color w:val="auto"/>
        </w:rPr>
        <w:t>The largest debt investments in our portfolio may vary from year to year as new debt investments are originated and existing debt investments are repaid. Our five largest debt investments represented 28% and 32% of total debt investments outstanding as of December 31, 2019 and 2018, respectively. No single debt investment represented more than 10% of our total debt investments as of December 31, 2019 or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See “Item 1 – Business” for a more detailed description of the internal credit rating system. As of December 31, 2019 and 2018, our debt investments had a weighted average credit rating of 3.1. The following table shows the classification of our debt investment portfolio by credit rating as of December 31, 2019 and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2019</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Investments at</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of Debt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264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Investments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45,339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15.7%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41,677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216,128</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75.0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155,439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24,888</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8.6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19,285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216,401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were two debt investments with an internal credit rating of 1, with an aggregate cost of $5.7 million and an aggregate fair value of $2.0 million. As of December 31, 2018, there were no debt investments with an internal credit rating of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1 2018, we and Arena formed a joint venture, or HSLFI, to make investments, either directly or indirectly through subsidiaries, primarily in the form of secured loans to development-stage companies in the technology, life science, healthcare information and services and sustainability industries. HSLFI was formed as a Delaware limited liability company and is not consolidated by either us or Arena for financial reporting purposes. Investments held by HSLFI are measured at fair value. As of December 31, 2019 and 2018, HSLFI had total assets of $48.3 million and $26.4 million, respectively. HSLFI’s portfolio consisted of debt investments in eight and four portfolio companies as of December 31, 2019 and 2018, respectively. As of December 31, 2019 and 2018, the largest investment in a single portfolio company in the HSLFI’s portfolio in aggregate principal amount was $11.3 million and $8.3 million, respectively. As of December 31, 2019, the five largest investments in portfolio companies in HSLFI’s portfolio totaled $30.3 million. As of December 31, 2018, HSLFI only had four investments in portfolio companies that totaled $25.0 million. As of December 31, 2019 and 2018, HSLFI had no investments on non-accrual status. HSLFI invests in portfolio companies in the same industries in which we may directly invest.</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cash or securities in portfolio companies in HSLFI in exchange for limited liability company equity interests in HSLFI. As of December 31, 2019 and 2018, we and Arena each owned 50.0% of the equity interests of HSLFI. We had an original commitment to fund $25.0 million of equity interests in HSLFI. As of December 31, 2019 and 2018, $9.8 million and $11.7 million, respectively, was unfunded. Our investment in HSLFI consisted of an equity contribution of $15.2 million and $13.3 million as of December 31, 2019 and 2018, respectively. During the year ended December 31, 2019, HSLFI distributed $1.4 million. For the period June 1, 2018 (the commencement of HSLFI’s operations) through December 31, 2018, HSLFI distributed $0.5 million.</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324"/>
        <w:spacing w:after="0" w:line="264" w:lineRule="auto"/>
        <w:rPr>
          <w:sz w:val="20"/>
          <w:szCs w:val="20"/>
          <w:color w:val="auto"/>
        </w:rPr>
      </w:pPr>
      <w:r>
        <w:rPr>
          <w:rFonts w:ascii="Arial" w:cs="Arial" w:eastAsia="Arial" w:hAnsi="Arial"/>
          <w:sz w:val="18"/>
          <w:szCs w:val="18"/>
          <w:color w:val="auto"/>
        </w:rPr>
        <w:t>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Agreement’s investment period has ended and the loan thereunder is in rapid amortization.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$15.0 million in advances made by the Noteholders as of December 31, 2019 at an interest rate of 4.98%. There were no advances made by the Noteholders as of December 31, 2018.</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 summary of HSLFI’s investment portfolio for the year ended December 31, 2019 and the period June 1, 2018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For the year</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June 1, 2018</w:t>
            </w:r>
          </w:p>
        </w:tc>
      </w:tr>
      <w:tr>
        <w:trPr>
          <w:trHeight w:val="216"/>
        </w:trPr>
        <w:tc>
          <w:tcPr>
            <w:tcW w:w="6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6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24,734</w:t>
            </w:r>
          </w:p>
        </w:tc>
      </w:tr>
      <w:tr>
        <w:trPr>
          <w:trHeight w:val="257"/>
        </w:trPr>
        <w:tc>
          <w:tcPr>
            <w:tcW w:w="6600" w:type="dxa"/>
            <w:vAlign w:val="bottom"/>
          </w:tcPr>
          <w:p>
            <w:pPr>
              <w:spacing w:after="0" w:line="256" w:lineRule="exact"/>
              <w:rPr>
                <w:sz w:val="20"/>
                <w:szCs w:val="20"/>
                <w:color w:val="auto"/>
              </w:rPr>
            </w:pPr>
            <w:r>
              <w:rPr>
                <w:rFonts w:ascii="Arial" w:cs="Arial" w:eastAsia="Arial" w:hAnsi="Arial"/>
                <w:sz w:val="18"/>
                <w:szCs w:val="18"/>
                <w:color w:val="auto"/>
              </w:rPr>
              <w:t>Dollar-weighted annualized yield on average debt investments</w:t>
            </w:r>
            <w:r>
              <w:rPr>
                <w:rFonts w:ascii="Arial" w:cs="Arial" w:eastAsia="Arial" w:hAnsi="Arial"/>
                <w:sz w:val="29"/>
                <w:szCs w:val="29"/>
                <w:color w:val="auto"/>
                <w:vertAlign w:val="superscript"/>
              </w:rPr>
              <w:t>(1)</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11,186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shows HSLFI’s total portfolio investment activity as of and for the year ended December 31, 2019 and the period June 1, 2018 through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New debt investments</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19,727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200" w:type="dxa"/>
            <w:vAlign w:val="bottom"/>
            <w:vMerge w:val="restart"/>
          </w:tcPr>
          <w:p>
            <w:pPr>
              <w:jc w:val="right"/>
              <w:ind w:right="26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Principal</w:t>
            </w: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Cost of</w:t>
            </w:r>
          </w:p>
        </w:tc>
        <w:tc>
          <w:tcPr>
            <w:tcW w:w="18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29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Sector</w:t>
            </w:r>
          </w:p>
        </w:tc>
        <w:tc>
          <w:tcPr>
            <w:tcW w:w="3160" w:type="dxa"/>
            <w:vAlign w:val="bottom"/>
          </w:tcPr>
          <w:p>
            <w:pPr>
              <w:ind w:left="54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220" w:type="dxa"/>
            <w:vAlign w:val="bottom"/>
          </w:tcPr>
          <w:p>
            <w:pPr>
              <w:spacing w:after="0"/>
              <w:rPr>
                <w:sz w:val="23"/>
                <w:szCs w:val="23"/>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30"/>
                <w:szCs w:val="30"/>
                <w:b w:val="1"/>
                <w:bCs w:val="1"/>
                <w:color w:val="auto"/>
                <w:vertAlign w:val="superscript"/>
              </w:rPr>
              <w:t>(5)</w:t>
            </w:r>
          </w:p>
        </w:tc>
        <w:tc>
          <w:tcPr>
            <w:tcW w:w="180" w:type="dxa"/>
            <w:vAlign w:val="bottom"/>
          </w:tcPr>
          <w:p>
            <w:pPr>
              <w:spacing w:after="0"/>
              <w:rPr>
                <w:sz w:val="23"/>
                <w:szCs w:val="2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Investments — Life science</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Celsion Corporation (6)(7)(8)</w:t>
            </w:r>
          </w:p>
        </w:tc>
        <w:tc>
          <w:tcPr>
            <w:tcW w:w="1560" w:type="dxa"/>
            <w:vAlign w:val="bottom"/>
          </w:tcPr>
          <w:p>
            <w:pPr>
              <w:ind w:left="60"/>
              <w:spacing w:after="0" w:line="201" w:lineRule="exact"/>
              <w:rPr>
                <w:sz w:val="20"/>
                <w:szCs w:val="20"/>
                <w:color w:val="auto"/>
              </w:rPr>
            </w:pPr>
            <w:r>
              <w:rPr>
                <w:rFonts w:ascii="Arial" w:cs="Arial" w:eastAsia="Arial" w:hAnsi="Arial"/>
                <w:sz w:val="18"/>
                <w:szCs w:val="18"/>
                <w:color w:val="auto"/>
              </w:rPr>
              <w:t>Biotechnology</w:t>
            </w:r>
          </w:p>
        </w:tc>
        <w:tc>
          <w:tcPr>
            <w:tcW w:w="3160" w:type="dxa"/>
            <w:vAlign w:val="bottom"/>
          </w:tcPr>
          <w:p>
            <w:pPr>
              <w:ind w:left="40"/>
              <w:spacing w:after="0" w:line="201" w:lineRule="exact"/>
              <w:rPr>
                <w:sz w:val="20"/>
                <w:szCs w:val="20"/>
                <w:color w:val="auto"/>
              </w:rPr>
            </w:pPr>
            <w:r>
              <w:rPr>
                <w:rFonts w:ascii="Arial" w:cs="Arial" w:eastAsia="Arial" w:hAnsi="Arial"/>
                <w:sz w:val="18"/>
                <w:szCs w:val="18"/>
                <w:color w:val="auto"/>
                <w:w w:val="96"/>
              </w:rPr>
              <w:t>Term Loan (9.63% cash (Libor + 7.63%;</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rPr>
              <w:t>Floor 9.63%), 4.00% ETP, Due 7/1/22)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6"/>
              </w:rPr>
              <w:t>Term Loan (9.63% cash (Libor + 7.63%;</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Floor 9.63%), 4.00% ETP, Due 7/1/22)</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Encore Dermatology, Inc. (6)(7)</w:t>
            </w:r>
          </w:p>
        </w:tc>
        <w:tc>
          <w:tcPr>
            <w:tcW w:w="1560" w:type="dxa"/>
            <w:vAlign w:val="bottom"/>
          </w:tcPr>
          <w:p>
            <w:pPr>
              <w:ind w:left="60"/>
              <w:spacing w:after="0" w:line="201" w:lineRule="exact"/>
              <w:rPr>
                <w:sz w:val="20"/>
                <w:szCs w:val="20"/>
                <w:color w:val="auto"/>
              </w:rPr>
            </w:pPr>
            <w:r>
              <w:rPr>
                <w:rFonts w:ascii="Arial" w:cs="Arial" w:eastAsia="Arial" w:hAnsi="Arial"/>
                <w:sz w:val="18"/>
                <w:szCs w:val="18"/>
                <w:color w:val="auto"/>
              </w:rPr>
              <w:t>Biotechnology</w:t>
            </w:r>
          </w:p>
        </w:tc>
        <w:tc>
          <w:tcPr>
            <w:tcW w:w="3160" w:type="dxa"/>
            <w:vAlign w:val="bottom"/>
          </w:tcPr>
          <w:p>
            <w:pPr>
              <w:ind w:left="40"/>
              <w:spacing w:after="0" w:line="201" w:lineRule="exact"/>
              <w:rPr>
                <w:sz w:val="20"/>
                <w:szCs w:val="20"/>
                <w:color w:val="auto"/>
              </w:rPr>
            </w:pPr>
            <w:r>
              <w:rPr>
                <w:rFonts w:ascii="Arial" w:cs="Arial" w:eastAsia="Arial" w:hAnsi="Arial"/>
                <w:sz w:val="18"/>
                <w:szCs w:val="18"/>
                <w:color w:val="auto"/>
              </w:rPr>
              <w:t>Term Loan (10.00% cash (Libor +</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w w:val="97"/>
              </w:rPr>
              <w:t>7.50%; Floor 10.00%), 3.00% ETP, Due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4,929</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Mustang Bio, Inc. (6)(7)(8)</w:t>
            </w:r>
          </w:p>
        </w:tc>
        <w:tc>
          <w:tcPr>
            <w:tcW w:w="15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Biotechnology</w:t>
            </w:r>
          </w:p>
        </w:tc>
        <w:tc>
          <w:tcPr>
            <w:tcW w:w="3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6"/>
              </w:rPr>
              <w:t>Term Loan (9.00% cash (Libor + 6.50%;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Floor 9.00%), 5.00% ETP, Due 10/1/22)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4,924</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Total Debt Investments — Life science</w:t>
            </w:r>
          </w:p>
        </w:tc>
        <w:tc>
          <w:tcPr>
            <w:tcW w:w="156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Investments — Technology</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Bridge2 Solutions, LLC (6)(7)</w:t>
            </w:r>
          </w:p>
        </w:tc>
        <w:tc>
          <w:tcPr>
            <w:tcW w:w="1560" w:type="dxa"/>
            <w:vAlign w:val="bottom"/>
          </w:tcPr>
          <w:p>
            <w:pPr>
              <w:ind w:left="60"/>
              <w:spacing w:after="0" w:line="201" w:lineRule="exact"/>
              <w:rPr>
                <w:sz w:val="20"/>
                <w:szCs w:val="20"/>
                <w:color w:val="auto"/>
              </w:rPr>
            </w:pPr>
            <w:r>
              <w:rPr>
                <w:rFonts w:ascii="Arial" w:cs="Arial" w:eastAsia="Arial" w:hAnsi="Arial"/>
                <w:sz w:val="18"/>
                <w:szCs w:val="18"/>
                <w:color w:val="auto"/>
              </w:rPr>
              <w:t>Software</w:t>
            </w:r>
          </w:p>
        </w:tc>
        <w:tc>
          <w:tcPr>
            <w:tcW w:w="3160" w:type="dxa"/>
            <w:vAlign w:val="bottom"/>
          </w:tcPr>
          <w:p>
            <w:pPr>
              <w:ind w:left="40"/>
              <w:spacing w:after="0" w:line="201" w:lineRule="exact"/>
              <w:rPr>
                <w:sz w:val="20"/>
                <w:szCs w:val="20"/>
                <w:color w:val="auto"/>
              </w:rPr>
            </w:pPr>
            <w:r>
              <w:rPr>
                <w:rFonts w:ascii="Arial" w:cs="Arial" w:eastAsia="Arial" w:hAnsi="Arial"/>
                <w:sz w:val="18"/>
                <w:szCs w:val="18"/>
                <w:color w:val="auto"/>
                <w:w w:val="96"/>
              </w:rPr>
              <w:t>Term Loan (11.00% cash (Libor + 8.4%;</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w w:val="97"/>
              </w:rPr>
              <w:t>Floor 11.00%), 2.00% ETP, Due 9/1/23)</w:t>
            </w:r>
          </w:p>
        </w:tc>
        <w:tc>
          <w:tcPr>
            <w:tcW w:w="22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New Signature US, Inc. (6)(7)(9)</w:t>
            </w:r>
          </w:p>
        </w:tc>
        <w:tc>
          <w:tcPr>
            <w:tcW w:w="15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Term Loan (10.50% cash (Libor +</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8.50%; Floor 10.50%), 3.50% ETP, Due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7/1/22)</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8,250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160" w:type="dxa"/>
            <w:vAlign w:val="bottom"/>
          </w:tcPr>
          <w:p>
            <w:pPr>
              <w:ind w:left="40"/>
              <w:spacing w:after="0" w:line="201" w:lineRule="exact"/>
              <w:rPr>
                <w:sz w:val="20"/>
                <w:szCs w:val="20"/>
                <w:color w:val="auto"/>
              </w:rPr>
            </w:pPr>
            <w:r>
              <w:rPr>
                <w:rFonts w:ascii="Arial" w:cs="Arial" w:eastAsia="Arial" w:hAnsi="Arial"/>
                <w:sz w:val="18"/>
                <w:szCs w:val="18"/>
                <w:color w:val="auto"/>
              </w:rPr>
              <w:t>Term Loan (10.60% cash (Libor +</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w w:val="97"/>
              </w:rPr>
              <w:t>8.50%; Floor 10.50%), 3.50% ETP, Due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OutboundEngine, Inc. (6)(7)</w:t>
            </w:r>
          </w:p>
        </w:tc>
        <w:tc>
          <w:tcPr>
            <w:tcW w:w="15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Term Loan (11.15% cash (Libor + 8.40%;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Floor 11.15%), 3.00% ETP, Due 7/1/23)</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Revinate, Inc. (6)(7)</w:t>
            </w:r>
          </w:p>
        </w:tc>
        <w:tc>
          <w:tcPr>
            <w:tcW w:w="1560" w:type="dxa"/>
            <w:vAlign w:val="bottom"/>
          </w:tcPr>
          <w:p>
            <w:pPr>
              <w:spacing w:after="0"/>
              <w:rPr>
                <w:sz w:val="17"/>
                <w:szCs w:val="17"/>
                <w:color w:val="auto"/>
              </w:rPr>
            </w:pPr>
          </w:p>
        </w:tc>
        <w:tc>
          <w:tcPr>
            <w:tcW w:w="3160" w:type="dxa"/>
            <w:vAlign w:val="bottom"/>
          </w:tcPr>
          <w:p>
            <w:pPr>
              <w:ind w:left="40"/>
              <w:spacing w:after="0" w:line="201" w:lineRule="exact"/>
              <w:rPr>
                <w:sz w:val="20"/>
                <w:szCs w:val="20"/>
                <w:color w:val="auto"/>
              </w:rPr>
            </w:pPr>
            <w:r>
              <w:rPr>
                <w:rFonts w:ascii="Arial" w:cs="Arial" w:eastAsia="Arial" w:hAnsi="Arial"/>
                <w:sz w:val="18"/>
                <w:szCs w:val="18"/>
                <w:color w:val="auto"/>
                <w:w w:val="96"/>
              </w:rPr>
              <w:t>Term Loan (9.50% cash (Libor + 7.00%,</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rPr>
              <w:t>Floor 9.50%), 3.00% ETP, Due 6/1/23)</w:t>
            </w:r>
          </w:p>
        </w:tc>
        <w:tc>
          <w:tcPr>
            <w:tcW w:w="2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Debt Investments — Technology</w:t>
            </w:r>
          </w:p>
        </w:tc>
        <w:tc>
          <w:tcPr>
            <w:tcW w:w="156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w w:val="90"/>
              </w:rPr>
              <w:t>Debt Investments — Healthcare information and services</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HealthEdge Software, Inc. (6)(7)</w:t>
            </w:r>
          </w:p>
        </w:tc>
        <w:tc>
          <w:tcPr>
            <w:tcW w:w="15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6"/>
              </w:rPr>
              <w:t>Term Loan (9.94% cash (Libor + 8.25%;</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Floor 9.25%), 3.00% ETP, Due 10/1/23)</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3,750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3,709</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Debt Investments — Healthcare information and services</w:t>
            </w: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Investments</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Warrant Investments — Life science</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Celsion Corporation (6)(7)(8)</w:t>
            </w:r>
          </w:p>
        </w:tc>
        <w:tc>
          <w:tcPr>
            <w:tcW w:w="1560" w:type="dxa"/>
            <w:vAlign w:val="bottom"/>
          </w:tcPr>
          <w:p>
            <w:pPr>
              <w:ind w:left="60"/>
              <w:spacing w:after="0"/>
              <w:rPr>
                <w:sz w:val="20"/>
                <w:szCs w:val="20"/>
                <w:color w:val="auto"/>
              </w:rPr>
            </w:pPr>
            <w:r>
              <w:rPr>
                <w:rFonts w:ascii="Arial" w:cs="Arial" w:eastAsia="Arial" w:hAnsi="Arial"/>
                <w:sz w:val="18"/>
                <w:szCs w:val="18"/>
                <w:color w:val="auto"/>
              </w:rPr>
              <w:t>Biotechnology</w:t>
            </w:r>
          </w:p>
        </w:tc>
        <w:tc>
          <w:tcPr>
            <w:tcW w:w="3160" w:type="dxa"/>
            <w:vAlign w:val="bottom"/>
          </w:tcPr>
          <w:p>
            <w:pPr>
              <w:ind w:left="40"/>
              <w:spacing w:after="0"/>
              <w:rPr>
                <w:sz w:val="20"/>
                <w:szCs w:val="20"/>
                <w:color w:val="auto"/>
              </w:rPr>
            </w:pPr>
            <w:r>
              <w:rPr>
                <w:rFonts w:ascii="Arial" w:cs="Arial" w:eastAsia="Arial" w:hAnsi="Arial"/>
                <w:sz w:val="18"/>
                <w:szCs w:val="18"/>
                <w:color w:val="auto"/>
              </w:rPr>
              <w:t>95,057 Common Stock Warrants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Encore Dermatology, Inc. (6)(7)</w:t>
            </w: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Biotechnology</w:t>
            </w: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503,626 Preferred Stock Warrants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Mustang Bio, Inc. (6)(7)(8)</w:t>
            </w:r>
          </w:p>
        </w:tc>
        <w:tc>
          <w:tcPr>
            <w:tcW w:w="1560" w:type="dxa"/>
            <w:vAlign w:val="bottom"/>
          </w:tcPr>
          <w:p>
            <w:pPr>
              <w:ind w:left="60"/>
              <w:spacing w:after="0"/>
              <w:rPr>
                <w:sz w:val="20"/>
                <w:szCs w:val="20"/>
                <w:color w:val="auto"/>
              </w:rPr>
            </w:pPr>
            <w:r>
              <w:rPr>
                <w:rFonts w:ascii="Arial" w:cs="Arial" w:eastAsia="Arial" w:hAnsi="Arial"/>
                <w:sz w:val="18"/>
                <w:szCs w:val="18"/>
                <w:color w:val="auto"/>
              </w:rPr>
              <w:t>Biotechnology</w:t>
            </w:r>
          </w:p>
        </w:tc>
        <w:tc>
          <w:tcPr>
            <w:tcW w:w="3160" w:type="dxa"/>
            <w:vAlign w:val="bottom"/>
          </w:tcPr>
          <w:p>
            <w:pPr>
              <w:ind w:left="40"/>
              <w:spacing w:after="0"/>
              <w:rPr>
                <w:sz w:val="20"/>
                <w:szCs w:val="20"/>
                <w:color w:val="auto"/>
              </w:rPr>
            </w:pPr>
            <w:r>
              <w:rPr>
                <w:rFonts w:ascii="Arial" w:cs="Arial" w:eastAsia="Arial" w:hAnsi="Arial"/>
                <w:sz w:val="18"/>
                <w:szCs w:val="18"/>
                <w:color w:val="auto"/>
              </w:rPr>
              <w:t>72,046 Common Stock Warrants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CSA Medical, Inc. (6)(7)</w:t>
            </w: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Medical Device</w:t>
            </w: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17,751 Preferred Stock Warrants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Warrant Investments — Life science</w:t>
            </w:r>
          </w:p>
        </w:tc>
        <w:tc>
          <w:tcPr>
            <w:tcW w:w="3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Warrant Investments — Technology</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Intelepeer Holdings, Inc. (6)(7)</w:t>
            </w:r>
          </w:p>
        </w:tc>
        <w:tc>
          <w:tcPr>
            <w:tcW w:w="1560" w:type="dxa"/>
            <w:vAlign w:val="bottom"/>
          </w:tcPr>
          <w:p>
            <w:pPr>
              <w:ind w:left="60"/>
              <w:spacing w:after="0"/>
              <w:rPr>
                <w:sz w:val="20"/>
                <w:szCs w:val="20"/>
                <w:color w:val="auto"/>
              </w:rPr>
            </w:pPr>
            <w:r>
              <w:rPr>
                <w:rFonts w:ascii="Arial" w:cs="Arial" w:eastAsia="Arial" w:hAnsi="Arial"/>
                <w:sz w:val="18"/>
                <w:szCs w:val="18"/>
                <w:color w:val="auto"/>
              </w:rPr>
              <w:t>Communications</w:t>
            </w:r>
          </w:p>
        </w:tc>
        <w:tc>
          <w:tcPr>
            <w:tcW w:w="3160" w:type="dxa"/>
            <w:vAlign w:val="bottom"/>
          </w:tcPr>
          <w:p>
            <w:pPr>
              <w:ind w:left="40"/>
              <w:spacing w:after="0"/>
              <w:rPr>
                <w:sz w:val="20"/>
                <w:szCs w:val="20"/>
                <w:color w:val="auto"/>
              </w:rPr>
            </w:pPr>
            <w:r>
              <w:rPr>
                <w:rFonts w:ascii="Arial" w:cs="Arial" w:eastAsia="Arial" w:hAnsi="Arial"/>
                <w:sz w:val="18"/>
                <w:szCs w:val="18"/>
                <w:color w:val="auto"/>
              </w:rPr>
              <w:t>2,081,934 Preferred Stock Warrants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Bridge2 Solutions, LLC (6)(7)</w:t>
            </w: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2,500 Common Stock Warrants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8"/>
              </w:rPr>
              <w:t>BSI Platform Holdings, LLC (6)(7)(9)</w:t>
            </w:r>
          </w:p>
        </w:tc>
        <w:tc>
          <w:tcPr>
            <w:tcW w:w="1560" w:type="dxa"/>
            <w:vAlign w:val="bottom"/>
          </w:tcPr>
          <w:p>
            <w:pPr>
              <w:ind w:left="60"/>
              <w:spacing w:after="0"/>
              <w:rPr>
                <w:sz w:val="20"/>
                <w:szCs w:val="20"/>
                <w:color w:val="auto"/>
              </w:rPr>
            </w:pPr>
            <w:r>
              <w:rPr>
                <w:rFonts w:ascii="Arial" w:cs="Arial" w:eastAsia="Arial" w:hAnsi="Arial"/>
                <w:sz w:val="18"/>
                <w:szCs w:val="18"/>
                <w:color w:val="auto"/>
              </w:rPr>
              <w:t>Software</w:t>
            </w:r>
          </w:p>
        </w:tc>
        <w:tc>
          <w:tcPr>
            <w:tcW w:w="3160" w:type="dxa"/>
            <w:vAlign w:val="bottom"/>
          </w:tcPr>
          <w:p>
            <w:pPr>
              <w:ind w:left="40"/>
              <w:spacing w:after="0"/>
              <w:rPr>
                <w:sz w:val="20"/>
                <w:szCs w:val="20"/>
                <w:color w:val="auto"/>
              </w:rPr>
            </w:pPr>
            <w:r>
              <w:rPr>
                <w:rFonts w:ascii="Arial" w:cs="Arial" w:eastAsia="Arial" w:hAnsi="Arial"/>
                <w:sz w:val="18"/>
                <w:szCs w:val="18"/>
                <w:color w:val="auto"/>
              </w:rPr>
              <w:t>562,500 Preferred Stock Warrants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OutboundEngine, Inc. (6)(7)</w:t>
            </w: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40,000 Preferred Stock Warrants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Revinate, Inc. (6)(7)</w:t>
            </w:r>
          </w:p>
        </w:tc>
        <w:tc>
          <w:tcPr>
            <w:tcW w:w="1560" w:type="dxa"/>
            <w:vAlign w:val="bottom"/>
          </w:tcPr>
          <w:p>
            <w:pPr>
              <w:ind w:left="60"/>
              <w:spacing w:after="0"/>
              <w:rPr>
                <w:sz w:val="20"/>
                <w:szCs w:val="20"/>
                <w:color w:val="auto"/>
              </w:rPr>
            </w:pPr>
            <w:r>
              <w:rPr>
                <w:rFonts w:ascii="Arial" w:cs="Arial" w:eastAsia="Arial" w:hAnsi="Arial"/>
                <w:sz w:val="18"/>
                <w:szCs w:val="18"/>
                <w:color w:val="auto"/>
              </w:rPr>
              <w:t>Software</w:t>
            </w:r>
          </w:p>
        </w:tc>
        <w:tc>
          <w:tcPr>
            <w:tcW w:w="3160" w:type="dxa"/>
            <w:vAlign w:val="bottom"/>
          </w:tcPr>
          <w:p>
            <w:pPr>
              <w:ind w:left="40"/>
              <w:spacing w:after="0"/>
              <w:rPr>
                <w:sz w:val="20"/>
                <w:szCs w:val="20"/>
                <w:color w:val="auto"/>
              </w:rPr>
            </w:pPr>
            <w:r>
              <w:rPr>
                <w:rFonts w:ascii="Arial" w:cs="Arial" w:eastAsia="Arial" w:hAnsi="Arial"/>
                <w:sz w:val="18"/>
                <w:szCs w:val="18"/>
                <w:color w:val="auto"/>
              </w:rPr>
              <w:t>216,362 Preferred Stock Warrants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Warrant Investments — Technology</w:t>
            </w:r>
          </w:p>
        </w:tc>
        <w:tc>
          <w:tcPr>
            <w:tcW w:w="3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Warrant Investments — Healthcare information and services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HealthEdge Software, Inc. (6)(7)</w:t>
            </w: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w:t>
            </w:r>
          </w:p>
        </w:tc>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47,418 Preferred Stock Warrants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Warrant Investments — Healthcare information and services</w:t>
            </w: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Investments</w:t>
            </w:r>
          </w:p>
        </w:tc>
        <w:tc>
          <w:tcPr>
            <w:tcW w:w="15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Total Portfolio Investment Assets</w:t>
            </w:r>
          </w:p>
        </w:tc>
        <w:tc>
          <w:tcPr>
            <w:tcW w:w="156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ind w:left="1160"/>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line="269" w:lineRule="auto"/>
        <w:framePr w:w="3100" w:h="1241" w:wrap="auto" w:vAnchor="page" w:hAnchor="page" w:x="4380" w:y="11851"/>
        <w:rPr>
          <w:rFonts w:ascii="Arial" w:cs="Arial" w:eastAsia="Arial" w:hAnsi="Arial"/>
          <w:sz w:val="16"/>
          <w:szCs w:val="16"/>
          <w:color w:val="auto"/>
        </w:rPr>
      </w:pPr>
      <w:r>
        <w:rPr>
          <w:rFonts w:ascii="Arial" w:cs="Arial" w:eastAsia="Arial" w:hAnsi="Arial"/>
          <w:sz w:val="16"/>
          <w:szCs w:val="16"/>
          <w:color w:val="auto"/>
        </w:rPr>
        <w:t>Term Loan (12.30% cash (Libor + 9.95%; Floor 11.25%), 2.50% ETP, Due 7/1/21) Term Loan (12.30% cash (Libor + 9.95%; Floor 11.25%), 2.50% ETP, Due 7/1/21) Term Loan (10.85% cash (Libor + 8.50%; Floor 10.50%), 3.50% ETP, Due 7/1/22)</w:t>
      </w:r>
    </w:p>
    <w:p>
      <w:pPr>
        <w:spacing w:after="0" w:line="263" w:lineRule="auto"/>
        <w:framePr w:w="3020" w:h="809" w:wrap="auto" w:vAnchor="page" w:hAnchor="page" w:x="4380" w:y="10514"/>
        <w:rPr>
          <w:rFonts w:ascii="Arial" w:cs="Arial" w:eastAsia="Arial" w:hAnsi="Arial"/>
          <w:sz w:val="16"/>
          <w:szCs w:val="16"/>
          <w:color w:val="auto"/>
        </w:rPr>
      </w:pPr>
      <w:r>
        <w:rPr>
          <w:rFonts w:ascii="Arial" w:cs="Arial" w:eastAsia="Arial" w:hAnsi="Arial"/>
          <w:sz w:val="16"/>
          <w:szCs w:val="16"/>
          <w:color w:val="auto"/>
        </w:rPr>
        <w:t>Term Loan (9.98% cash (Libor + 7.63%; Floor 9.63%), 4.00% ETP, Due 7/1/22) Term Loan (9.98% cash (Libor + 7.63%; Floor 9.63%), 4.00% ETP, Due 7/1/22)</w:t>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Principal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Cost of</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286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840" w:type="dxa"/>
            <w:vAlign w:val="bottom"/>
          </w:tcPr>
          <w:p>
            <w:pPr>
              <w:ind w:left="120"/>
              <w:spacing w:after="0"/>
              <w:rPr>
                <w:sz w:val="20"/>
                <w:szCs w:val="20"/>
                <w:color w:val="auto"/>
              </w:rPr>
            </w:pPr>
            <w:r>
              <w:rPr>
                <w:rFonts w:ascii="Arial" w:cs="Arial" w:eastAsia="Arial" w:hAnsi="Arial"/>
                <w:sz w:val="18"/>
                <w:szCs w:val="18"/>
                <w:b w:val="1"/>
                <w:bCs w:val="1"/>
                <w:color w:val="auto"/>
              </w:rPr>
              <w:t>Sector</w:t>
            </w:r>
          </w:p>
        </w:tc>
        <w:tc>
          <w:tcPr>
            <w:tcW w:w="2600" w:type="dxa"/>
            <w:vAlign w:val="bottom"/>
          </w:tcPr>
          <w:p>
            <w:pPr>
              <w:ind w:left="6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14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Amount</w:t>
            </w:r>
          </w:p>
        </w:tc>
        <w:tc>
          <w:tcPr>
            <w:tcW w:w="1440" w:type="dxa"/>
            <w:vAlign w:val="bottom"/>
            <w:gridSpan w:val="4"/>
          </w:tcPr>
          <w:p>
            <w:pPr>
              <w:ind w:left="220"/>
              <w:spacing w:after="0" w:line="271" w:lineRule="exact"/>
              <w:rPr>
                <w:sz w:val="20"/>
                <w:szCs w:val="20"/>
                <w:color w:val="auto"/>
              </w:rPr>
            </w:pPr>
            <w:r>
              <w:rPr>
                <w:rFonts w:ascii="Arial" w:cs="Arial" w:eastAsia="Arial" w:hAnsi="Arial"/>
                <w:sz w:val="18"/>
                <w:szCs w:val="18"/>
                <w:b w:val="1"/>
                <w:bCs w:val="1"/>
                <w:color w:val="auto"/>
                <w:w w:val="92"/>
              </w:rPr>
              <w:t>Investments</w:t>
            </w:r>
            <w:r>
              <w:rPr>
                <w:rFonts w:ascii="Arial" w:cs="Arial" w:eastAsia="Arial" w:hAnsi="Arial"/>
                <w:sz w:val="30"/>
                <w:szCs w:val="30"/>
                <w:b w:val="1"/>
                <w:bCs w:val="1"/>
                <w:color w:val="auto"/>
                <w:w w:val="92"/>
                <w:vertAlign w:val="superscript"/>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 Term Investments — Unrestricted Investments</w:t>
            </w:r>
          </w:p>
        </w:tc>
        <w:tc>
          <w:tcPr>
            <w:tcW w:w="2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Bank Money Market Deposit Account (6)</w:t>
            </w:r>
          </w:p>
        </w:tc>
        <w:tc>
          <w:tcPr>
            <w:tcW w:w="2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11,201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Total Short Term Investments — Unrestricted Investments</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Short Term Investments — Restricted Money Market Funds</w:t>
            </w:r>
          </w:p>
        </w:tc>
        <w:tc>
          <w:tcPr>
            <w:tcW w:w="2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Bank Money Market Deposit Account (6)</w:t>
            </w:r>
          </w:p>
        </w:tc>
        <w:tc>
          <w:tcPr>
            <w:tcW w:w="2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Short Term Investments — Restricted Money Market Funds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end-of-term payments, or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December 31, 2019 is provided.</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40" w:right="5700" w:hanging="332"/>
        <w:spacing w:after="0" w:line="561"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New Signature US, Inc. is a subsidiary of BSI Platform Holdings, LLC. The following table shows HSLFI’s investments as of December 31, 2018:</w:t>
      </w: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4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Principal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rPr>
              <w:t>Fair</w:t>
            </w:r>
          </w:p>
        </w:tc>
      </w:tr>
      <w:tr>
        <w:trPr>
          <w:trHeight w:val="271"/>
        </w:trPr>
        <w:tc>
          <w:tcPr>
            <w:tcW w:w="2380" w:type="dxa"/>
            <w:vAlign w:val="bottom"/>
            <w:tcBorders>
              <w:bottom w:val="single" w:sz="8" w:color="auto"/>
            </w:tcBorders>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Sector</w:t>
            </w:r>
          </w:p>
        </w:tc>
        <w:tc>
          <w:tcPr>
            <w:tcW w:w="3160" w:type="dxa"/>
            <w:vAlign w:val="bottom"/>
            <w:tcBorders>
              <w:bottom w:val="single" w:sz="8" w:color="auto"/>
            </w:tcBorders>
          </w:tcPr>
          <w:p>
            <w:pPr>
              <w:ind w:left="62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14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4"/>
              </w:rPr>
              <w:t>Amount</w:t>
            </w:r>
          </w:p>
        </w:tc>
        <w:tc>
          <w:tcPr>
            <w:tcW w:w="15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6"/>
              </w:rPr>
              <w:t>Investments</w:t>
            </w:r>
            <w:r>
              <w:rPr>
                <w:rFonts w:ascii="Arial" w:cs="Arial" w:eastAsia="Arial" w:hAnsi="Arial"/>
                <w:sz w:val="30"/>
                <w:szCs w:val="30"/>
                <w:b w:val="1"/>
                <w:bCs w:val="1"/>
                <w:color w:val="auto"/>
                <w:w w:val="86"/>
                <w:vertAlign w:val="superscript"/>
              </w:rPr>
              <w:t>(5)</w:t>
            </w: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11"/>
        </w:trPr>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70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04" w:right="239" w:bottom="1062" w:gutter="0" w:footer="0" w:header="0"/>
        </w:sectPr>
      </w:pPr>
    </w:p>
    <w:p>
      <w:pPr>
        <w:spacing w:after="0"/>
        <w:rPr>
          <w:sz w:val="20"/>
          <w:szCs w:val="20"/>
          <w:color w:val="auto"/>
        </w:rPr>
      </w:pPr>
      <w:r>
        <w:rPr>
          <w:rFonts w:ascii="Arial" w:cs="Arial" w:eastAsia="Arial" w:hAnsi="Arial"/>
          <w:sz w:val="18"/>
          <w:szCs w:val="18"/>
          <w:b w:val="1"/>
          <w:bCs w:val="1"/>
          <w:color w:val="auto"/>
        </w:rPr>
        <w:t>Debt Investments — Life science</w:t>
      </w:r>
    </w:p>
    <w:p>
      <w:pPr>
        <w:spacing w:after="0" w:line="7" w:lineRule="exact"/>
        <w:rPr>
          <w:rFonts w:ascii="Arial" w:cs="Arial" w:eastAsia="Arial" w:hAnsi="Arial"/>
          <w:sz w:val="16"/>
          <w:szCs w:val="16"/>
          <w:color w:val="auto"/>
        </w:rPr>
      </w:pPr>
    </w:p>
    <w:p>
      <w:pPr>
        <w:spacing w:after="0"/>
        <w:tabs>
          <w:tab w:leader="none" w:pos="2580" w:val="left"/>
        </w:tabs>
        <w:rPr>
          <w:sz w:val="20"/>
          <w:szCs w:val="20"/>
          <w:color w:val="auto"/>
        </w:rPr>
      </w:pPr>
      <w:r>
        <w:rPr>
          <w:rFonts w:ascii="Arial" w:cs="Arial" w:eastAsia="Arial" w:hAnsi="Arial"/>
          <w:sz w:val="18"/>
          <w:szCs w:val="18"/>
          <w:color w:val="auto"/>
        </w:rPr>
        <w:t>Celsion Corporation (6)(7)(8)</w:t>
      </w:r>
      <w:r>
        <w:rPr>
          <w:sz w:val="20"/>
          <w:szCs w:val="20"/>
          <w:color w:val="auto"/>
        </w:rPr>
        <w:tab/>
      </w:r>
      <w:r>
        <w:rPr>
          <w:rFonts w:ascii="Arial" w:cs="Arial" w:eastAsia="Arial" w:hAnsi="Arial"/>
          <w:sz w:val="16"/>
          <w:szCs w:val="16"/>
          <w:color w:val="auto"/>
        </w:rPr>
        <w:t>Biotechnology</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Total Debt Investments — Life science</w:t>
      </w:r>
    </w:p>
    <w:p>
      <w:pPr>
        <w:spacing w:after="0" w:line="3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Debt Investments — Technology</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rFonts w:ascii="Arial" w:cs="Arial" w:eastAsia="Arial" w:hAnsi="Arial"/>
          <w:sz w:val="16"/>
          <w:szCs w:val="16"/>
          <w:color w:val="auto"/>
        </w:rPr>
      </w:pPr>
    </w:p>
    <w:p>
      <w:pPr>
        <w:spacing w:after="0"/>
        <w:tabs>
          <w:tab w:leader="none" w:pos="2580" w:val="left"/>
        </w:tabs>
        <w:rPr>
          <w:sz w:val="20"/>
          <w:szCs w:val="20"/>
          <w:color w:val="auto"/>
        </w:rPr>
      </w:pPr>
      <w:r>
        <w:rPr>
          <w:rFonts w:ascii="Arial" w:cs="Arial" w:eastAsia="Arial" w:hAnsi="Arial"/>
          <w:sz w:val="18"/>
          <w:szCs w:val="18"/>
          <w:color w:val="auto"/>
        </w:rPr>
        <w:t>Intelepeer Holdings, Inc. (6)(7)</w:t>
      </w:r>
      <w:r>
        <w:rPr>
          <w:sz w:val="20"/>
          <w:szCs w:val="20"/>
          <w:color w:val="auto"/>
        </w:rPr>
        <w:tab/>
      </w:r>
      <w:r>
        <w:rPr>
          <w:rFonts w:ascii="Arial" w:cs="Arial" w:eastAsia="Arial" w:hAnsi="Arial"/>
          <w:sz w:val="16"/>
          <w:szCs w:val="16"/>
          <w:color w:val="auto"/>
        </w:rPr>
        <w:t>Communications</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396" w:lineRule="exact"/>
        <w:rPr>
          <w:rFonts w:ascii="Arial" w:cs="Arial" w:eastAsia="Arial" w:hAnsi="Arial"/>
          <w:sz w:val="16"/>
          <w:szCs w:val="16"/>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2,449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446"/>
        </w:trPr>
        <w:tc>
          <w:tcPr>
            <w:tcW w:w="3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210"/>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r>
    </w:tbl>
    <w:p>
      <w:pPr>
        <w:spacing w:after="0" w:line="434" w:lineRule="exact"/>
        <w:rPr>
          <w:rFonts w:ascii="Arial" w:cs="Arial" w:eastAsia="Arial" w:hAnsi="Arial"/>
          <w:sz w:val="16"/>
          <w:szCs w:val="16"/>
          <w:color w:val="auto"/>
        </w:rPr>
      </w:pPr>
    </w:p>
    <w:p>
      <w:pPr>
        <w:sectPr>
          <w:pgSz w:w="11900" w:h="16838" w:orient="portrait"/>
          <w:cols w:equalWidth="0" w:num="2">
            <w:col w:w="6940" w:space="720"/>
            <w:col w:w="3760"/>
          </w:cols>
          <w:pgMar w:left="240" w:top="904" w:right="239" w:bottom="1062"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3,948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432"/>
        </w:trPr>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6"/>
              </w:rPr>
              <w:t>New Signature US, Inc. (6)(7)(9)</w:t>
            </w:r>
          </w:p>
        </w:tc>
        <w:tc>
          <w:tcPr>
            <w:tcW w:w="1220" w:type="dxa"/>
            <w:vAlign w:val="bottom"/>
          </w:tcPr>
          <w:p>
            <w:pPr>
              <w:ind w:left="100"/>
              <w:spacing w:after="0"/>
              <w:rPr>
                <w:sz w:val="20"/>
                <w:szCs w:val="20"/>
                <w:color w:val="auto"/>
              </w:rPr>
            </w:pPr>
            <w:r>
              <w:rPr>
                <w:rFonts w:ascii="Arial" w:cs="Arial" w:eastAsia="Arial" w:hAnsi="Arial"/>
                <w:sz w:val="18"/>
                <w:szCs w:val="18"/>
                <w:color w:val="auto"/>
              </w:rPr>
              <w:t>Software</w:t>
            </w:r>
          </w:p>
        </w:tc>
        <w:tc>
          <w:tcPr>
            <w:tcW w:w="4020" w:type="dxa"/>
            <w:vAlign w:val="bottom"/>
          </w:tcPr>
          <w:p>
            <w:pPr>
              <w:spacing w:after="0"/>
              <w:rPr>
                <w:sz w:val="20"/>
                <w:szCs w:val="20"/>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rPr>
              <w:t>8,250</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8,098</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Investments — Technology</w:t>
            </w:r>
          </w:p>
        </w:tc>
        <w:tc>
          <w:tcPr>
            <w:tcW w:w="40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Debt Investments — Healthcare information and services</w:t>
            </w: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HealthEdge Software, Inc. (6)(7)</w:t>
            </w:r>
          </w:p>
        </w:tc>
        <w:tc>
          <w:tcPr>
            <w:tcW w:w="12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Software</w:t>
            </w:r>
          </w:p>
        </w:tc>
        <w:tc>
          <w:tcPr>
            <w:tcW w:w="40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Term Loan (10.60% cash (Libor + 8.25%;</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Floor 9.25%), 3.00% ETP, Due 10/1/23)</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Debt Investments — Healthcare information and services</w:t>
            </w:r>
          </w:p>
        </w:tc>
        <w:tc>
          <w:tcPr>
            <w:tcW w:w="12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Investments</w:t>
            </w:r>
          </w:p>
        </w:tc>
        <w:tc>
          <w:tcPr>
            <w:tcW w:w="12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2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69</w:t>
            </w:r>
          </w:p>
        </w:tc>
        <w:tc>
          <w:tcPr>
            <w:tcW w:w="1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62" w:gutter="0" w:footer="0" w:header="0"/>
          <w:type w:val="continuous"/>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Cost of</w:t>
            </w:r>
          </w:p>
        </w:tc>
        <w:tc>
          <w:tcPr>
            <w:tcW w:w="18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286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480" w:type="dxa"/>
            <w:vAlign w:val="bottom"/>
          </w:tcPr>
          <w:p>
            <w:pPr>
              <w:ind w:left="520"/>
              <w:spacing w:after="0"/>
              <w:rPr>
                <w:sz w:val="20"/>
                <w:szCs w:val="20"/>
                <w:color w:val="auto"/>
              </w:rPr>
            </w:pPr>
            <w:r>
              <w:rPr>
                <w:rFonts w:ascii="Arial" w:cs="Arial" w:eastAsia="Arial" w:hAnsi="Arial"/>
                <w:sz w:val="18"/>
                <w:szCs w:val="18"/>
                <w:b w:val="1"/>
                <w:bCs w:val="1"/>
                <w:color w:val="auto"/>
              </w:rPr>
              <w:t>Sector</w:t>
            </w:r>
          </w:p>
        </w:tc>
        <w:tc>
          <w:tcPr>
            <w:tcW w:w="3140" w:type="dxa"/>
            <w:vAlign w:val="bottom"/>
          </w:tcPr>
          <w:p>
            <w:pPr>
              <w:ind w:left="66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30"/>
                <w:szCs w:val="30"/>
                <w:b w:val="1"/>
                <w:bCs w:val="1"/>
                <w:color w:val="auto"/>
                <w:vertAlign w:val="superscript"/>
              </w:rPr>
              <w:t>(5)</w:t>
            </w:r>
          </w:p>
        </w:tc>
        <w:tc>
          <w:tcPr>
            <w:tcW w:w="180" w:type="dxa"/>
            <w:vAlign w:val="bottom"/>
          </w:tcPr>
          <w:p>
            <w:pPr>
              <w:spacing w:after="0"/>
              <w:rPr>
                <w:sz w:val="23"/>
                <w:szCs w:val="2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(Dollars in thousands)</w:t>
            </w:r>
          </w:p>
        </w:tc>
        <w:tc>
          <w:tcPr>
            <w:tcW w:w="1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Warrant Investments — Life science</w:t>
            </w:r>
          </w:p>
        </w:tc>
        <w:tc>
          <w:tcPr>
            <w:tcW w:w="14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Celsion Corporation (6)(7)(8)</w:t>
            </w:r>
          </w:p>
        </w:tc>
        <w:tc>
          <w:tcPr>
            <w:tcW w:w="148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3140" w:type="dxa"/>
            <w:vAlign w:val="bottom"/>
          </w:tcPr>
          <w:p>
            <w:pPr>
              <w:ind w:left="160"/>
              <w:spacing w:after="0"/>
              <w:rPr>
                <w:sz w:val="20"/>
                <w:szCs w:val="20"/>
                <w:color w:val="auto"/>
              </w:rPr>
            </w:pPr>
            <w:r>
              <w:rPr>
                <w:rFonts w:ascii="Arial" w:cs="Arial" w:eastAsia="Arial" w:hAnsi="Arial"/>
                <w:sz w:val="18"/>
                <w:szCs w:val="18"/>
                <w:color w:val="auto"/>
              </w:rPr>
              <w:t>95,057 Common Stock Warrants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Warrant Investments — Life science</w:t>
            </w:r>
          </w:p>
        </w:tc>
        <w:tc>
          <w:tcPr>
            <w:tcW w:w="3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w w:val="91"/>
              </w:rPr>
              <w:t>Warrant Investments — Technology</w:t>
            </w:r>
          </w:p>
        </w:tc>
        <w:tc>
          <w:tcPr>
            <w:tcW w:w="1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Intelepeer Holdings, Inc. (6)(7)</w:t>
            </w: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Communications</w:t>
            </w: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1,280,000 Preferred Stock Warrants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7"/>
              </w:rPr>
              <w:t>BSI Platform Holdings, LLC (6)(7)(9)</w:t>
            </w:r>
          </w:p>
        </w:tc>
        <w:tc>
          <w:tcPr>
            <w:tcW w:w="1480" w:type="dxa"/>
            <w:vAlign w:val="bottom"/>
          </w:tcPr>
          <w:p>
            <w:pPr>
              <w:ind w:left="100"/>
              <w:spacing w:after="0"/>
              <w:rPr>
                <w:sz w:val="20"/>
                <w:szCs w:val="20"/>
                <w:color w:val="auto"/>
              </w:rPr>
            </w:pPr>
            <w:r>
              <w:rPr>
                <w:rFonts w:ascii="Arial" w:cs="Arial" w:eastAsia="Arial" w:hAnsi="Arial"/>
                <w:sz w:val="18"/>
                <w:szCs w:val="18"/>
                <w:color w:val="auto"/>
              </w:rPr>
              <w:t>Software</w:t>
            </w:r>
          </w:p>
        </w:tc>
        <w:tc>
          <w:tcPr>
            <w:tcW w:w="3140" w:type="dxa"/>
            <w:vAlign w:val="bottom"/>
          </w:tcPr>
          <w:p>
            <w:pPr>
              <w:ind w:left="160"/>
              <w:spacing w:after="0"/>
              <w:rPr>
                <w:sz w:val="20"/>
                <w:szCs w:val="20"/>
                <w:color w:val="auto"/>
              </w:rPr>
            </w:pPr>
            <w:r>
              <w:rPr>
                <w:rFonts w:ascii="Arial" w:cs="Arial" w:eastAsia="Arial" w:hAnsi="Arial"/>
                <w:sz w:val="18"/>
                <w:szCs w:val="18"/>
                <w:color w:val="auto"/>
              </w:rPr>
              <w:t>412,500 Preferred Stock Warrants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Warrant Investments — Technology</w:t>
            </w:r>
          </w:p>
        </w:tc>
        <w:tc>
          <w:tcPr>
            <w:tcW w:w="3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Warrant Investments — Healthcare information and services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HealthEdge Software, Inc. (6)(7)</w:t>
            </w: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47,418 Preferred Stock Warrants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Warrant Investments — Healthcare information and services</w:t>
            </w:r>
          </w:p>
        </w:tc>
        <w:tc>
          <w:tcPr>
            <w:tcW w:w="15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Investments</w:t>
            </w:r>
          </w:p>
        </w:tc>
        <w:tc>
          <w:tcPr>
            <w:tcW w:w="14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Portfolio Investment Assets</w:t>
            </w:r>
          </w:p>
        </w:tc>
        <w:tc>
          <w:tcPr>
            <w:tcW w:w="14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gridSpan w:val="2"/>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Short Term Investments — Unrestricted Investments</w:t>
            </w: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US Bank Money Market Deposit Account (6)</w:t>
            </w:r>
          </w:p>
        </w:tc>
        <w:tc>
          <w:tcPr>
            <w:tcW w:w="3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Short Term Investments — Unrestricted Investments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December 31, 2019 and 2018 and for the year ended December 31, 2019 and the period June 1, 2018 through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2"/>
              </w:rPr>
              <w:t>Total investments at fair value (cost of $34,895 and $24,771, respectively)</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34,829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 in money market funds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receivable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0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Borrowings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14,955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3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Members’ equity</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33,176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expenses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Consolidated results of operations of Horizon Technology Finance Corporation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results of operations described below may not be indicative of the results we report in future periods.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years ended December 31, 2019, 2018 and 2017:</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expenses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24,264</w:t>
            </w: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18,374</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based incentive fees waived</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Provision for excise tax</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244,940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200,911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170,685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135,419</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99,415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75,960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annual comparisons of net increase in net assets resulting from operations may not be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Total investment income increased by $12.0 million, or 38.7%, to $43.1 million for the year ended December 31, 2019 as compared to the year ended December 31, 2018. For the year ended December 31, 2019, total investment income consisted primarily of $37.1 million in interest income from investments, which included $10.4 million in income from the accretion of origination fees and ETP, $3.8 million in fee income and $2.2 million in dividend income. Interest income on debt investments increased by $8.3 million, or 28.8%, to $37.1 million for the year ended December 31, 2019 as compared to the year ended December 31, 2018. Interest income on investments for the year ended December 31, 2019 as compared to the year ended December 31, 2018 increased primarily due to an increase of $44.0 million, or 21.9%, in the average size of our debt investment portfolio and an increase in accelerated fees earned on higher principal prepayments received. Fee income, which includes success fee, other fee and prepayment fee income on debt investments, increased by $1.8 million, or 85.6%, to $3.8 million for the year ended December 31, 2019 compared to the year ended December 31, 2018 primarily due to an increase in fees earned on higher principal prepayments received.</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Total investment income increased by $5.3 million, or 20.6%, to $31.1 million for the year ended December 31, 2018 as compared to the year ended December 31, 2017. For the year ended December 31, 2018, total investment income consisted primarily of $28.8 million in interest income from investments, which included $6.0 million in income from the accretion of origination fees and ETP, $2.0 million in fee income and $0.3 million in dividend income. Interest income on debt investments increased by $5.0 million, or 21.1%, to $28.8 million for the year ended December 31, 2018 as compared to the year ended December 31, 2017. Interest income on investments for the year ended December 31, 2018 as compared to the year ended December 31, 2017 increased primarily due to an increase of $30.2 million, or 17.7%, in the average size of our debt investment portfolio and an increase in LIBOR which is the base rate for most of our variable rate debt investments for the year ended December 31, 2018 as compared to the year ended December 31, 2017. Fee income, which includes success fee and prepayment fee income on debt investments, remained flat at $2.0 million for the year ended December 31, 2018 compared to the year ended December 31,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The following table shows our dollar-weighted annualized yield for the years ended December 31, 2019,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For the years ended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50"/>
        </w:trPr>
        <w:tc>
          <w:tcPr>
            <w:tcW w:w="68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Debt investments</w:t>
            </w:r>
            <w:r>
              <w:rPr>
                <w:rFonts w:ascii="Arial" w:cs="Arial" w:eastAsia="Arial" w:hAnsi="Arial"/>
                <w:sz w:val="28"/>
                <w:szCs w:val="28"/>
                <w:color w:val="auto"/>
                <w:vertAlign w:val="superscript"/>
              </w:rPr>
              <w:t>(1)(2)</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57"/>
        </w:trPr>
        <w:tc>
          <w:tcPr>
            <w:tcW w:w="7000" w:type="dxa"/>
            <w:vAlign w:val="bottom"/>
            <w:gridSpan w:val="2"/>
          </w:tcPr>
          <w:p>
            <w:pPr>
              <w:spacing w:after="0" w:line="256" w:lineRule="exact"/>
              <w:rPr>
                <w:sz w:val="20"/>
                <w:szCs w:val="20"/>
                <w:color w:val="auto"/>
              </w:rPr>
            </w:pPr>
            <w:r>
              <w:rPr>
                <w:rFonts w:ascii="Arial" w:cs="Arial" w:eastAsia="Arial" w:hAnsi="Arial"/>
                <w:sz w:val="18"/>
                <w:szCs w:val="18"/>
                <w:color w:val="auto"/>
              </w:rPr>
              <w:t>Equity interest in HSLFI and debt investments</w:t>
            </w:r>
            <w:r>
              <w:rPr>
                <w:rFonts w:ascii="Arial" w:cs="Arial" w:eastAsia="Arial" w:hAnsi="Arial"/>
                <w:sz w:val="29"/>
                <w:szCs w:val="29"/>
                <w:color w:val="auto"/>
                <w:vertAlign w:val="superscript"/>
              </w:rPr>
              <w:t>(1)(3)(4)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57"/>
        </w:trPr>
        <w:tc>
          <w:tcPr>
            <w:tcW w:w="7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29"/>
                <w:szCs w:val="29"/>
                <w:color w:val="auto"/>
                <w:vertAlign w:val="superscript"/>
              </w:rPr>
              <w:t>(1)(4)(5)</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7000" w:type="dxa"/>
            <w:vAlign w:val="bottom"/>
            <w:gridSpan w:val="2"/>
          </w:tcPr>
          <w:p>
            <w:pPr>
              <w:spacing w:after="0"/>
              <w:rPr>
                <w:sz w:val="20"/>
                <w:szCs w:val="20"/>
                <w:color w:val="auto"/>
              </w:rPr>
            </w:pPr>
            <w:r>
              <w:rPr>
                <w:rFonts w:ascii="Arial" w:cs="Arial" w:eastAsia="Arial" w:hAnsi="Arial"/>
                <w:sz w:val="18"/>
                <w:szCs w:val="18"/>
                <w:color w:val="auto"/>
              </w:rPr>
              <w:t>All investments</w:t>
            </w:r>
            <w:r>
              <w:rPr>
                <w:rFonts w:ascii="Arial" w:cs="Arial" w:eastAsia="Arial" w:hAnsi="Arial"/>
                <w:sz w:val="30"/>
                <w:szCs w:val="30"/>
                <w:color w:val="auto"/>
                <w:vertAlign w:val="superscript"/>
              </w:rPr>
              <w:t>(1)(6)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5" w:lineRule="exact"/>
        <w:rPr>
          <w:sz w:val="20"/>
          <w:szCs w:val="20"/>
          <w:color w:val="auto"/>
        </w:rPr>
      </w:pPr>
    </w:p>
    <w:p>
      <w:pPr>
        <w:jc w:val="both"/>
        <w:ind w:left="340" w:hanging="332"/>
        <w:spacing w:after="0" w:line="269"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2"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ind w:left="340" w:right="2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HSLFI was formed on June 1, 2018. There was no yield from equity interest in HSLFI for the year ended December 31, 2017.</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ind w:left="340" w:hanging="332"/>
        <w:spacing w:after="0" w:line="26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17%, 25% and 14% of investment income for the years ended December 31, 2019,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Net expenses increased by $5.2 million, or 30.4%, to $22.4 million for the year ended December 31, 2019 as compared to the year ended December 31, 2018. Net expenses increased by $3.7 million, or 27.8%, to $17.2 million for the year ended December 31, 2018 as compared to the year ended December 31,</w:t>
      </w:r>
    </w:p>
    <w:p>
      <w:pPr>
        <w:jc w:val="both"/>
        <w:spacing w:after="0" w:line="261" w:lineRule="auto"/>
        <w:rPr>
          <w:sz w:val="20"/>
          <w:szCs w:val="20"/>
          <w:color w:val="auto"/>
        </w:rPr>
      </w:pPr>
      <w:r>
        <w:rPr>
          <w:rFonts w:ascii="Arial" w:cs="Arial" w:eastAsia="Arial" w:hAnsi="Arial"/>
          <w:sz w:val="18"/>
          <w:szCs w:val="18"/>
          <w:color w:val="auto"/>
        </w:rPr>
        <w:t>2017. Total expenses for each period consisted of interest expense, base management fee, incentive and administrative fees, professional fees and general and administrative expenses.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expense increased by $2.0 million, or 30.9%, to $8.3 million for the year ended December 31, 2019 as compared to the year ended December 31, 2018. Interest expense, which includes the amortization of debt issuance costs, increased primarily due to an increase in average borrowings of $36.0 million, or 36.2%, which was partially offset by a decrease in LIBOR. Interest expense increased by $1.2 million, or 23.1%, to $6.4 million for the year ended December 31, 2018 as compared to the year ended December 31, 2017. Interest expense, which includes the amortization of debt issuance costs, increased primarily due to an increase in average borrowings of $23.5 million, or 30.9%, which was partially offset by the acceleration of $0.2 million of unamortized debt issuance costs related to the redemption of the 2019 Notes.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Base management fee expense increased by $1.0 million, or 21.4%, to $5.6 million for the year ended December 31, 2019 as compared to the year ended December 31, 2018 primarily due to an increase of $44.0 million, or 21.9%, in the average size of our investment portfolio for the year ended December 31, 2019 as compared to the year ended December 31, 2018. Base management fee expense increased by $0.8 million, or 20.9%, to $4.6 million for the year ended December 31, 2018 as compared to the year ended December 31, 2017 primarily due to an increase of $30.2 million, or 17.7%, in the average size of our investment portfolio for the year ended December 31, 2018 as compared to the year ended December 31, 2017.</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year ended December 31, 2019, our Advisor waived performance based incentive fees of $1.8 million which our Advisor would have otherwise been paid. This resulted in $1.8 million of reduced expense and additional net investment income for the year ended December 31,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year ended December 31, 2018, our Advisor waived performance based incentive fees of $1.2 million which our Advisor would have otherwise earned. This resulted in $1.2 million of reduced expense and additional net investment income for the year ended December 31, 2018.</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Performance based incentive fee expense, net of the waiver above, increased by $1.9 million, or 59.5%, to $5.1 million for the year ended December 31, 2019 as compared to the year ended December 31, 2018. This increase was due to (i) an increase of $8.5 million, or 49.9%, in Pre-Incentive Fee Net Investment Income for the year ended December 31, 2019 compared to the year ended December 31, 2018 and (ii) an increase in the Incentive Fee Cap calculated based on the incentive fee cap and deferral mechanism in our Investment Management Agreement for the year ended December 31, 2019 compared to the year ended December 31, 2018. The incentive fee on pre-incentive fee net investment income was subject to the Incentive Fee Cap for the year ended December 31, 2018 due to the cumulative incentive fees paid exceeding 20% of cumulative pre-incentive fee net return during the applicable quarter and the 11 preceding full calendar quarters. Performance based incentive fee expense, net of waiver above, increased by $1.6 million, or 96.3%, to $3.2 million for the year ended December 31, 2018 as compared to the year ended December 31, 2017. This increase was due to (i) an increase of $3.1 million, or 22.6%, to $17.1 million in Pre-Incentive Fee Net Investment Income for the year ended December 31, 2018 as compared to the year ended December 31, 2017 and (ii) an increase in the Incentive Fee Cap calculated based on the incentive fee cap and deferral mechanism in our Investment Management Agreement for the year ended December 31, 2018 compared to the year ended December 31, 2017. The incentive fee on pre-incentive fee net investment income was subject to the Incentive Fee Cap for the year ended December 31, 2018 due to the cumulative incentive fees paid exceeding 20% of cumulative pre-incentive fee net return during the applicable quarter and the 11 preceding full calendar quarters.</w:t>
      </w:r>
    </w:p>
    <w:p>
      <w:pPr>
        <w:spacing w:after="0" w:line="17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2019 and 2018, we elected to carry forward taxable income in excess of current year distributions into the next tax year and pay a 4% excise tax on such income. For the years ended December 31, 2019 and 2018, we elected to carry forward taxable income in excess of current year distributions of $6.5 million and $1.3 million, respectively. At December 31, 2019 and 2018, excise tax payable of $0.2 million and $0.03 million, respectively, was recorded.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expenses were $3.4 million, $3.0 million and $2.9 million for the years ended December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the year ended December 31, 2019, we realized net losses totaling $4.2 million primarily due to the expiration of one of our royalty agreements and the sale of one of our license agreements, which were included in other investments, which was partially offset by a gain on the sale of our equity investment in one portfolio company and from the consideration we received from the termination of warrants upon the sale of three portfolio companies. During the year ended December 31, 2018, we realized net gains totaling $0.6 million primarily due to gains realized on the sale of equity received upon the exercise of warrants. During the year ended December 31, 2017, we realized net losses totaling $21.2 million primarily due to the resolution of four debt investments partially offset by realized gains on the sale of equity received upon the exercise of warrants. One debt investment was settled, which resulted in a realized loss of $5.8 million and unrealized appreciation of $5.8 million. One debt investment was settled for net cash proceeds of $1.3 million, which resulted in a realized loss of $3.0 million and unrealized appreciation of $2.8 million. Two debt investments were settled for a royalty and sale agreements collectively fair valued at $7.5 million, which resulted in a realized loss of $12.4 million and unrealized appreciation of $11.8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324"/>
        <w:spacing w:after="0" w:line="293" w:lineRule="auto"/>
        <w:rPr>
          <w:sz w:val="20"/>
          <w:szCs w:val="20"/>
          <w:color w:val="auto"/>
        </w:rPr>
      </w:pPr>
      <w:r>
        <w:rPr>
          <w:rFonts w:ascii="Arial" w:cs="Arial" w:eastAsia="Arial" w:hAnsi="Arial"/>
          <w:sz w:val="16"/>
          <w:szCs w:val="16"/>
          <w:color w:val="auto"/>
        </w:rPr>
        <w:t>During the year ended December 31, 2019, net unrealized appreciation on investments totaled $3.2 million which was primarily due to the unrealized appreciation on one of our equity investments and the reversal of previously recorded unrealized depreciation from the expiration of one of our royalty agreements, which was included in other investments, partially offset by the unrealized depreciation on one of our debt investments. During the year ended December 31, 2018, net unrealized depreciation on investments totaled $1.5 million which was primarily due to the unrealized depreciation on our warrant and equity investments in public companies. During the year ended December 31, 2017, net unrealized appreciation on investments totaled $18.5 million which was primarily due to the reversal of previously recorded unrealized depreciation on four debt investments that were settled during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December 31, 2019 and 2018, we had cash and investments in money market funds of $16.3 million and $12.6 million, respectively. Cash and investments in money market funds are available to fund new investments, reduce borrowings, pay expenses, repurchase common stock and pay distributions. In addition, as of December 31, 2019, we had $1.1 million of restricted investments in money market funds. Restricted investments in money market funds may be used to make monthly interest and principal payments on our Asset-Backed Notes. Our primary sources of capital have been from our public and private equity offerings, use of our revolving credit facilities, issuance of our public debt offerings and issuance of our Asset-Backed Notes.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26, 2019, we completed a follow-on public offering of 2,000,000 shares of our common stock at a public offering price of $12.14 per share, for total net proceeds to us of $23.1 million, after deducting underwriting commission and discounts and other offering expenses.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 2019, we entered into an At-The-Market (“ATM”) sales agreement (the “Equity Distribution Agreement”), with Goldman Sachs &amp; Co. LLC and B. Riley FBR, Inc. (each a “Sales Agent” and, collectively, the “Sales Agents”). The Equity Distribution Agreement provides that we may offer and sell shares of common stock from time to time through the Sales Agents representing up to $50.0 million worth of our common stock, in amounts and at times to be determined by us.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year ended December 31, 2019, we sold 2,012,844 shares of common stock under the Equity Distribution Agreement. For the same period, we received total accumulated net proceeds of approximately $24.0 million, including $0.6 million of offering expenses, from these sales.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26, 2019, our Board extended a previously authorized stock repurchase program which allows us to repurchase up to $5.0 million of our common stock at prices below our NAV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Exchange Act and any applicable requirements of the 1940 Act. Unless extended by our Board, the repurchase program will terminate on the earlier of June 30, 2020 or the repurchase of $5.0 million of our common stock. During the years ended December 31, 2019 and 2018, we did not repurchase any shares of our common stock. During the year ended December 31, 2017, we repurchased 5,923 shares of our common stock at an average price of $9.97 on the open market at a total cost of $0.1 million. From the inception of the stock repurchase program through December 31, 2019, we repurchased 167,465 shares of our common stock at an average price of $11.22 on the open market at a total cost of $1.9 million.</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and 2018, the outstanding principal balance under the Key Facility was $17.0 million and $90.5 million, respectively. As of December 31, 2019 and 2018, we had borrowing capacity under the Key Facility of $108.0 million and $34.5 million, respectively. At December 31, 2019 and 2018, $24.2 million and $0.9 million, respectively, were available, subject to existing terms and advance rates.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activities used cash of $51.4 million for the year ended December 31, 2019, and our financing activities provided cash of $56.2 million for the same period. Our operating activities used cash primarily to purchase investments in portfolio companies partially offset by principal payments received on our debt investments. Our financing activities provided cash primarily from the sale of shares through a follow-on public offering and our ATM for net proceeds of $47.1 million, after deducting underwriting commission and discounts and other offering expenses and the completion of our Asset-Backed Notes, partially offset by cash used to pay distributions to our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324"/>
        <w:spacing w:after="0" w:line="259" w:lineRule="auto"/>
        <w:rPr>
          <w:sz w:val="20"/>
          <w:szCs w:val="20"/>
          <w:color w:val="auto"/>
        </w:rPr>
      </w:pPr>
      <w:r>
        <w:rPr>
          <w:rFonts w:ascii="Arial" w:cs="Arial" w:eastAsia="Arial" w:hAnsi="Arial"/>
          <w:sz w:val="18"/>
          <w:szCs w:val="18"/>
          <w:color w:val="auto"/>
        </w:rPr>
        <w:t>Our operating activities used cash of $12.1 million for the year ended December 31, 2018, and our financing activities provided cash of $18.1 million for the same period. Our operating activities used cash primarily for investments made in portfolio companies and HSLFI, partially offset by principal payments received on our debt investments. Our financing activities provided cash primarily from advances on our Key Facility partially offset by repayment of our Key Facility and payment of distributions to our stockholders.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activities used cash of $14.8 million for the year ended December 31, 2017, and our financing activities used cash of $15.7 million for the same period. Our operating activities used cash primarily for investments made in portfolio companies, partially offset by principal payments received on our debt investments. Our financing activities used cash primarily to redeem the 2019 Notes, pay down the Key Facility and pay distributions to our stockholders, partially offset by the issuance of the 2022 Notes.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borrowings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6"/>
                <w:szCs w:val="16"/>
                <w:color w:val="auto"/>
              </w:rPr>
            </w:pPr>
          </w:p>
        </w:tc>
        <w:tc>
          <w:tcPr>
            <w:tcW w:w="11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Unused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7"/>
              </w:rPr>
              <w:t>Unused</w:t>
            </w:r>
          </w:p>
        </w:tc>
        <w:tc>
          <w:tcPr>
            <w:tcW w:w="100" w:type="dxa"/>
            <w:vAlign w:val="bottom"/>
            <w:gridSpan w:val="2"/>
          </w:tcPr>
          <w:p>
            <w:pPr>
              <w:spacing w:after="0"/>
              <w:rPr>
                <w:sz w:val="16"/>
                <w:szCs w:val="16"/>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r>
      <w:tr>
        <w:trPr>
          <w:trHeight w:val="210"/>
        </w:trPr>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34,500</w:t>
            </w: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Asset-Backed Notes</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154,375</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Unamortized debt issuance costs</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term borrowings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w w:val="98"/>
              </w:rPr>
              <w:t>Total borrowings outstanding,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entered into the Key Facility effective November 4, 2013. The interest rate on the Key Facility is based upon the one-month LIBOR plus a spread of 3.25%, with a LIBOR floor of 0.75%. The LIBOR rate was 1.76% and 2.50% as of December 31, 2019 and 2018, respectively. The interest rates in effect were 4.94% and 5.60% as of December 31, 2019 and 2018, respectively. The Key Facility requires the payment of an unused line fee in an amount equal to 0.50% of any unborrowed amount available under the facility annually.</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324"/>
        <w:spacing w:after="0" w:line="288" w:lineRule="auto"/>
        <w:rPr>
          <w:sz w:val="20"/>
          <w:szCs w:val="20"/>
          <w:color w:val="auto"/>
        </w:rPr>
      </w:pPr>
      <w:r>
        <w:rPr>
          <w:rFonts w:ascii="Arial" w:cs="Arial" w:eastAsia="Arial" w:hAnsi="Arial"/>
          <w:sz w:val="16"/>
          <w:szCs w:val="16"/>
          <w:color w:val="auto"/>
        </w:rPr>
        <w:t>On September 29, 2017, we issued and sold an aggregate principal amount of $32.5 million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December, 31, 2019, we were in material compliance with the terms of the 2022 Notes. The 2022 Notes are listed on the New York Stock Exchange under the symbol “HTFA”.</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13, 2019, the Asset-Backed Notes were issued by the 2019-1 Trust pursuant to a note purchase agreement, dated as of August 13, 2019, by and among us and Keybanc Capital Markets Inc. as Initial Purchaser, and are backed by a pool of loans made to certain portfolio companies of ours and secured by certain assets of those portfolio companies and are to be serviced by us. Interest on the Asset-Backed Notes will be paid, to the extent of funds available, at a fixed rate of 4.21% per annum. The Asset-Backed Notes have a two-year reinvestment period and a stated maturity of September 15, 2027. The Asset-Backed Notes were rated A+(sf) by Morningstar Credit Ratings, LLC.</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the Asset-Backed Notes had an outstanding principal balance of $100.0 million. The Asset-Backed Notes did not exist at December 31, 2018.</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terms of the Asset-Backed Notes, we are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December 31, 2019, there was approximately $1.1 million of restricted investments. There were no funds segregated as restricted investments related to the Asset-Backed Notes at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and 2018, other assets were $1.5 million and $1.8 million, respectively, which is primarily comprised of debt issuance costs and prepaid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5"/>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110,191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49,500</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39,500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December 31, 2019, we had such unfunded commitments of $49.5 million. This includes no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December 31, 2019, we reasonably believed that our assets would provide adequate financial resources to satisfy all of our unfunded commitments.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324"/>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adopted an “opt out”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NAV,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years ended December 31, 2019, 2018 and 2017, we paid the Advisor $10.7 million, $7.8 million and $5.4 million, respectively, pursuant to the Investment Management Agreement.</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Through March 6, 2019, our Advisor was 60% owned by HTF Holdings LLC, which was wholly-owned by Horizon Technology Finance Principals LLC f/k/a Horizon Technology Finance, LLC (“HTF Principals”). HTF Principals was wholly-owned by Robert D. Pomeroy, Jr. and Gerald A. Michaud. By virtue of their ownership interest in HTF Principals, our Chief Executive Officer, Robert D. Pomeroy, Jr. and our President, Gerald A. Michaud controlled our Advisor. Effective as of March 7, 2019, HTF Principals owns seventy-five percent (75%) of the Advisor. By virtue of their ownership interest in Horizon Principals, our Chief Executive Officer, Robert D. Pomeroy, Jr. and our President, Gerald A. Michaud control our Advisor.</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years ended December 31, 2019, 2018 and 2017, we paid the Advisor $0.9 million, $0.7 million and $0.7 million, respectively, pursuant to the Administration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both"/>
        <w:ind w:firstLine="324"/>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960" w:hanging="971"/>
        <w:spacing w:after="0" w:line="264" w:lineRule="auto"/>
        <w:tabs>
          <w:tab w:leader="none" w:pos="19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960" w:hanging="971"/>
        <w:spacing w:after="0" w:line="259" w:lineRule="auto"/>
        <w:tabs>
          <w:tab w:leader="none" w:pos="19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year ended December 31, 2019 and 2018, we did not recognize any interest income from debt investments on non-accrual status. For the year ended December 31, 2017, we recognized as interest income interest payments of $0.1 million received from one portfolio company whose debt investment was on non-accrual status.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324"/>
        <w:spacing w:after="0" w:line="276" w:lineRule="auto"/>
        <w:rPr>
          <w:sz w:val="20"/>
          <w:szCs w:val="20"/>
          <w:color w:val="auto"/>
        </w:rPr>
      </w:pPr>
      <w:r>
        <w:rPr>
          <w:rFonts w:ascii="Arial" w:cs="Arial" w:eastAsia="Arial" w:hAnsi="Arial"/>
          <w:sz w:val="17"/>
          <w:szCs w:val="17"/>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year ended December 31, 2019, HSLFI distributed $0.7 million classified as dividend income to us. For the period June 1, 2018 (the commencement of HSLFI’s operations) through December 31, 2018, HSLFI distributed $0.3 million classified as dividend income to us.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December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2019, the FASB issued Accounting Standards Update 2019-07, Codification Updates to SEC Sections: Amendments to SEC Paragraphs Pursuant to SEC Final Rule Releases No. 33-10532, Disclosure Update and Simplification, and Nos. 33-10231 and 33-10442, Investment Company Reporting Modernization, and Miscellaneous Updates which amends the codification to reflect changes adopted by the SEC. The SEC adopted final rules that amend certain disclosure requirements that were redundant, duplicative, overlapping, outdated or superseded. We have adopted these amendments and the changes are reflected in our consolidated financial statements. Certain prior year information has been adjusted to conform to these amendments.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Subsequent to December 31, 2019, and as of March 3, 2020, we sold 1,198,552 shares of common stock for total accumulated net proceeds of approximately $15.1 million, net of offering expenses, under the Equity Distribution Agreement. As of March 3, 2020, shares representing approximately $10.0 million of its common stock remain available for issuance and sale under the Equity Distribution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324"/>
        <w:spacing w:after="0" w:line="277" w:lineRule="auto"/>
        <w:rPr>
          <w:sz w:val="20"/>
          <w:szCs w:val="20"/>
          <w:color w:val="auto"/>
        </w:rPr>
      </w:pPr>
      <w:r>
        <w:rPr>
          <w:rFonts w:ascii="Arial" w:cs="Arial" w:eastAsia="Arial" w:hAnsi="Arial"/>
          <w:sz w:val="18"/>
          <w:szCs w:val="18"/>
          <w:color w:val="auto"/>
        </w:rPr>
        <w:t>On January 29, 2020, we received proceeds of $2.3 million in connection with the termination of our warrants in Sys-Tech Solutions, Inc. (“Sys-Tech”) upon Sys-Tech’s sale to Dover Fluids, Inc.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12, 2020, we received proceeds of $0.4 million in connection with the sale of our equity investment in Revance Therapeutics, Inc.</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21, 2020, Bridge2 Solutions, LLC (“Bridge2”) prepaid its outstanding principal balance of $14.5 million on its venture loan, plus interest and end-of-term payment. On February 26, 2020, we received proceeds of $2.9 million in connection with the termination of our warrants in Bridge2 upon Bridge2’s sale to Intercontinental Exchange, Inc.</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26, 2020, we funded a $20.0 million loan to a new portfolio company, Castle Creek Biosciences, Inc., a clinical stage biopharmaceutical company developing therapies for patients with rare and debilitating dermatological conditions.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2020, we funded a $4.0 million loan to an existing portfolio company, CSA Medical, Inc., a developer of novel, patent-protected cryotherapy medical devices.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2020, we funded a $1.1 million loan to an existing portfolio company, Betabrand Corporation, a crowdfunded online clothing community that designs, manufactures, and consistently releases new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December 31, 2019 and 2018, 99% of the outstanding principal amount of our debt investments bore interest at floating rates. The initial commitments to lend to our portfolio companies are usually based on a floating LIBOR index.</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our December 31, 2019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December 31, 2019,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Investment</w:t>
            </w:r>
          </w:p>
        </w:tc>
        <w:tc>
          <w:tcPr>
            <w:tcW w:w="20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Change in Net</w:t>
            </w:r>
          </w:p>
        </w:tc>
      </w:tr>
      <w:tr>
        <w:trPr>
          <w:trHeight w:val="270"/>
        </w:trPr>
        <w:tc>
          <w:tcPr>
            <w:tcW w:w="6640" w:type="dxa"/>
            <w:vAlign w:val="bottom"/>
          </w:tcPr>
          <w:p>
            <w:pPr>
              <w:spacing w:after="0"/>
              <w:rPr>
                <w:sz w:val="20"/>
                <w:szCs w:val="20"/>
                <w:color w:val="auto"/>
              </w:rPr>
            </w:pPr>
            <w:r>
              <w:rPr>
                <w:rFonts w:ascii="Arial" w:cs="Arial" w:eastAsia="Arial" w:hAnsi="Arial"/>
                <w:sz w:val="18"/>
                <w:szCs w:val="18"/>
                <w:b w:val="1"/>
                <w:bCs w:val="1"/>
                <w:color w:val="auto"/>
              </w:rPr>
              <w:t>Change in basis points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23"/>
                <w:szCs w:val="2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line="269" w:lineRule="exact"/>
              <w:rPr>
                <w:sz w:val="20"/>
                <w:szCs w:val="20"/>
                <w:color w:val="auto"/>
              </w:rPr>
            </w:pPr>
            <w:r>
              <w:rPr>
                <w:rFonts w:ascii="Arial" w:cs="Arial" w:eastAsia="Arial" w:hAnsi="Arial"/>
                <w:sz w:val="18"/>
                <w:szCs w:val="18"/>
                <w:b w:val="1"/>
                <w:bCs w:val="1"/>
                <w:color w:val="auto"/>
                <w:w w:val="88"/>
              </w:rPr>
              <w:t>Assets</w:t>
            </w:r>
            <w:r>
              <w:rPr>
                <w:rFonts w:ascii="Arial" w:cs="Arial" w:eastAsia="Arial" w:hAnsi="Arial"/>
                <w:sz w:val="30"/>
                <w:szCs w:val="30"/>
                <w:b w:val="1"/>
                <w:bCs w:val="1"/>
                <w:color w:val="auto"/>
                <w:w w:val="88"/>
                <w:vertAlign w:val="superscript"/>
              </w:rPr>
              <w:t>(1)</w:t>
            </w:r>
          </w:p>
        </w:tc>
      </w:tr>
      <w:tr>
        <w:trPr>
          <w:trHeight w:val="210"/>
        </w:trPr>
        <w:tc>
          <w:tcPr>
            <w:tcW w:w="6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Up 200 basis points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4,663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4,318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Down 300 basis points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Down 100 basis points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bl>
    <w:p>
      <w:pPr>
        <w:spacing w:after="0" w:line="187" w:lineRule="exact"/>
        <w:rPr>
          <w:sz w:val="20"/>
          <w:szCs w:val="20"/>
          <w:color w:val="auto"/>
        </w:rPr>
      </w:pPr>
    </w:p>
    <w:p>
      <w:pPr>
        <w:ind w:left="5620" w:right="4740" w:hanging="5612"/>
        <w:spacing w:after="0" w:line="83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Excludes the impact of incentive fees based on pre-incentive fee net investment income.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324"/>
        <w:spacing w:after="0" w:line="288" w:lineRule="auto"/>
        <w:rPr>
          <w:sz w:val="20"/>
          <w:szCs w:val="20"/>
          <w:color w:val="auto"/>
        </w:rPr>
      </w:pPr>
      <w:r>
        <w:rPr>
          <w:rFonts w:ascii="Arial" w:cs="Arial" w:eastAsia="Arial" w:hAnsi="Arial"/>
          <w:sz w:val="16"/>
          <w:szCs w:val="16"/>
          <w:color w:val="auto"/>
        </w:rPr>
        <w:t>While our 2022 Notes and our Asset-Backed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for the Company may cause the Investment Adviser to fall within the definition of “commodity pool operator” under the Commodity Exchange Act (the “CEA”) and related Commodity Futures Trading Commission (the “CFTC”) regulations. On January 31, 2020, the Investment Adviser claimed an exclusion from the definition of the term “commodity pool operator” under the CEA and the CFTC regulations in connection with its management of the Company and, therefore, is not subject to CFTC registration or regulation under the CEA as a commodity pool operator with respect to its management of the Company.</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Consolidated Financial Statements and Supplementary Data</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tcBorders>
              <w:top w:val="single" w:sz="8" w:color="CCEEFF"/>
            </w:tcBorders>
            <w:gridSpan w:val="3"/>
            <w:shd w:val="clear" w:color="auto" w:fill="CCEEFF"/>
          </w:tcPr>
          <w:p>
            <w:pPr>
              <w:spacing w:after="0" w:line="170"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Management’s Report on Internal Control over Financial Reporting</w:t>
              </w:r>
            </w:hyperlink>
          </w:p>
        </w:tc>
        <w:tc>
          <w:tcPr>
            <w:tcW w:w="5740" w:type="dxa"/>
            <w:vAlign w:val="bottom"/>
            <w:tcBorders>
              <w:top w:val="single" w:sz="8" w:color="CCEEFF"/>
            </w:tcBorders>
            <w:gridSpan w:val="7"/>
            <w:shd w:val="clear" w:color="auto" w:fill="CCEEFF"/>
          </w:tcPr>
          <w:p>
            <w:pPr>
              <w:spacing w:after="0"/>
              <w:rPr>
                <w:sz w:val="14"/>
                <w:szCs w:val="14"/>
                <w:color w:val="auto"/>
              </w:rPr>
            </w:pPr>
          </w:p>
        </w:tc>
        <w:tc>
          <w:tcPr>
            <w:tcW w:w="700" w:type="dxa"/>
            <w:vAlign w:val="bottom"/>
            <w:tcBorders>
              <w:top w:val="single" w:sz="8" w:color="auto"/>
            </w:tcBorders>
            <w:gridSpan w:val="3"/>
            <w:shd w:val="clear" w:color="auto" w:fill="CCEEFF"/>
          </w:tcPr>
          <w:p>
            <w:pPr>
              <w:jc w:val="right"/>
              <w:spacing w:after="0" w:line="170"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60" w:type="dxa"/>
            <w:vAlign w:val="bottom"/>
            <w:gridSpan w:val="3"/>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Report of Independent Registered Public Accounting Firm</w:t>
              </w:r>
            </w:hyperlink>
          </w:p>
        </w:tc>
        <w:tc>
          <w:tcPr>
            <w:tcW w:w="5740" w:type="dxa"/>
            <w:vAlign w:val="bottom"/>
            <w:gridSpan w:val="7"/>
          </w:tcPr>
          <w:p>
            <w:pPr>
              <w:spacing w:after="0"/>
              <w:rPr>
                <w:sz w:val="15"/>
                <w:szCs w:val="15"/>
                <w:color w:val="auto"/>
              </w:rPr>
            </w:pPr>
          </w:p>
        </w:tc>
        <w:tc>
          <w:tcPr>
            <w:tcW w:w="800" w:type="dxa"/>
            <w:vAlign w:val="bottom"/>
            <w:gridSpan w:val="4"/>
          </w:tcPr>
          <w:p>
            <w:pPr>
              <w:jc w:val="right"/>
              <w:ind w:right="10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80" w:type="dxa"/>
            <w:vAlign w:val="bottom"/>
            <w:gridSpan w:val="8"/>
            <w:shd w:val="clear" w:color="auto" w:fill="CCEEFF"/>
          </w:tcPr>
          <w:p>
            <w:pPr>
              <w:spacing w:after="0" w:line="17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Report of Independent Registered Public Accounting Firm on Internal Control over Financial Reporting</w:t>
              </w:r>
            </w:hyperlink>
          </w:p>
        </w:tc>
        <w:tc>
          <w:tcPr>
            <w:tcW w:w="3120" w:type="dxa"/>
            <w:vAlign w:val="bottom"/>
            <w:gridSpan w:val="2"/>
            <w:shd w:val="clear" w:color="auto" w:fill="CCEEFF"/>
          </w:tcPr>
          <w:p>
            <w:pPr>
              <w:spacing w:after="0"/>
              <w:rPr>
                <w:sz w:val="15"/>
                <w:szCs w:val="15"/>
                <w:color w:val="auto"/>
              </w:rPr>
            </w:pPr>
          </w:p>
        </w:tc>
        <w:tc>
          <w:tcPr>
            <w:tcW w:w="80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80" w:type="dxa"/>
            <w:vAlign w:val="bottom"/>
            <w:gridSpan w:val="8"/>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Assets and Liabilities as of December 31, 2019 and 2018</w:t>
              </w:r>
            </w:hyperlink>
          </w:p>
        </w:tc>
        <w:tc>
          <w:tcPr>
            <w:tcW w:w="3120" w:type="dxa"/>
            <w:vAlign w:val="bottom"/>
            <w:gridSpan w:val="2"/>
          </w:tcPr>
          <w:p>
            <w:pPr>
              <w:spacing w:after="0"/>
              <w:rPr>
                <w:sz w:val="15"/>
                <w:szCs w:val="15"/>
                <w:color w:val="auto"/>
              </w:rPr>
            </w:pPr>
          </w:p>
        </w:tc>
        <w:tc>
          <w:tcPr>
            <w:tcW w:w="800" w:type="dxa"/>
            <w:vAlign w:val="bottom"/>
            <w:gridSpan w:val="4"/>
          </w:tcPr>
          <w:p>
            <w:pPr>
              <w:jc w:val="right"/>
              <w:ind w:right="10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Operations for the Years Ended December 31, 2019, 2018 and 2017</w:t>
              </w:r>
            </w:hyperlink>
          </w:p>
        </w:tc>
        <w:tc>
          <w:tcPr>
            <w:tcW w:w="3700" w:type="dxa"/>
            <w:vAlign w:val="bottom"/>
            <w:gridSpan w:val="4"/>
            <w:shd w:val="clear" w:color="auto" w:fill="CCEEFF"/>
          </w:tcPr>
          <w:p>
            <w:pPr>
              <w:spacing w:after="0"/>
              <w:rPr>
                <w:sz w:val="15"/>
                <w:szCs w:val="15"/>
                <w:color w:val="auto"/>
              </w:rPr>
            </w:pPr>
          </w:p>
        </w:tc>
        <w:tc>
          <w:tcPr>
            <w:tcW w:w="80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0"/>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Changes in Net Assets for the Years Ended December 31, 2019, 2018 and 2017</w:t>
              </w:r>
            </w:hyperlink>
          </w:p>
        </w:tc>
        <w:tc>
          <w:tcPr>
            <w:tcW w:w="800" w:type="dxa"/>
            <w:vAlign w:val="bottom"/>
            <w:gridSpan w:val="4"/>
          </w:tcPr>
          <w:p>
            <w:pPr>
              <w:jc w:val="right"/>
              <w:ind w:right="10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0"/>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 for the Years Ended December 31, 2019, 2018 and 2017</w:t>
              </w:r>
            </w:hyperlink>
          </w:p>
        </w:tc>
        <w:tc>
          <w:tcPr>
            <w:tcW w:w="80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40" w:type="dxa"/>
            <w:vAlign w:val="bottom"/>
            <w:gridSpan w:val="7"/>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Schedules of Investments as of December 31, 2019 and 2018</w:t>
              </w:r>
            </w:hyperlink>
          </w:p>
        </w:tc>
        <w:tc>
          <w:tcPr>
            <w:tcW w:w="3660" w:type="dxa"/>
            <w:vAlign w:val="bottom"/>
            <w:gridSpan w:val="3"/>
          </w:tcPr>
          <w:p>
            <w:pPr>
              <w:spacing w:after="0"/>
              <w:rPr>
                <w:sz w:val="15"/>
                <w:szCs w:val="15"/>
                <w:color w:val="auto"/>
              </w:rPr>
            </w:pPr>
          </w:p>
        </w:tc>
        <w:tc>
          <w:tcPr>
            <w:tcW w:w="800" w:type="dxa"/>
            <w:vAlign w:val="bottom"/>
            <w:gridSpan w:val="4"/>
          </w:tcPr>
          <w:p>
            <w:pPr>
              <w:jc w:val="right"/>
              <w:ind w:right="10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0"/>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Notes to the Consolidated Financial Statements</w:t>
              </w:r>
            </w:hyperlink>
          </w:p>
        </w:tc>
        <w:tc>
          <w:tcPr>
            <w:tcW w:w="80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2720" w:type="dxa"/>
            <w:vAlign w:val="bottom"/>
            <w:tcBorders>
              <w:top w:val="single" w:sz="8" w:color="CCEEFF"/>
              <w:bottom w:val="single" w:sz="8" w:color="auto"/>
            </w:tcBorders>
            <w:gridSpan w:val="4"/>
          </w:tcPr>
          <w:p>
            <w:pPr>
              <w:jc w:val="right"/>
              <w:ind w:right="340"/>
              <w:spacing w:after="0"/>
              <w:rPr>
                <w:sz w:val="20"/>
                <w:szCs w:val="20"/>
                <w:color w:val="auto"/>
              </w:rPr>
            </w:pPr>
            <w:r>
              <w:rPr>
                <w:rFonts w:ascii="Arial" w:cs="Arial" w:eastAsia="Arial" w:hAnsi="Arial"/>
                <w:sz w:val="18"/>
                <w:szCs w:val="18"/>
                <w:color w:val="auto"/>
              </w:rPr>
              <w:t>84</w:t>
            </w:r>
          </w:p>
        </w:tc>
        <w:tc>
          <w:tcPr>
            <w:tcW w:w="7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of Horizon Technology Finance Corporation (the “Company”) is responsible for establishing and maintaining adequate internal control over the Company’s financial reporting. The Company’s internal control system is a process designed to provide reasonable assurance to management and the board of directors regarding the preparation and fair presentation of published financial statements.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The Company’s policies and procedures also provide reasonable assurance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financial statements.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as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in 2013. Based on the assessment, management believes that, as of December 31, 2019, the Company’s internal control over financial reporting is effective based on those criteria.</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independent registered public accounting firm that audited the financial statements has issued an audit report on the effectiveness of the Company’s internal control over financial reporting as of December 31, 2019, which appears in this annual report on Form 10-K.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statements of assets and liabilities, including the consolidated schedules of investments, of Horizon Technology Finance Corporation and Subsidiaries (the Company) as of December 31, 2019 and 2018, the related consolidated statements of operations, changes in net assets and cash flows for each of the three years in the period ended December 31, 2019, and the related notes to the consolidated financial statements (collectively,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in 2013, and our report dated March 3, 2020,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2019 and 2018, by correspondence with the custodian or borrower or by other appropriate auditing procedures where replies from the custodian or borrower were not received.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center"/>
        <w:ind w:right="1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Horizon Technology Finance Corporation and Subsidiaries’ (the Company) internal control over financial reporting as of December 31, 2019,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2019, based on criteria established in Internal Control — Integrated Framework issued by the Committee of Sponsoring Organizations of the Treadway Commission in 2013.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of the Company, including the consolidated schedules of investments, as of December 31, 2019 and 2018, the related consolidated statements of operations, changes in net assets and cash flows for each of the three years in the period ended December 31, 2019, and our report dated March 3,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Non-affiliate investments at fair value (cost of $295,256 and $229,772, respectively)</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294,304</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 investments at fair value (cost of $6,891and $7,887, respectively) (Note 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Controlled affiliate investments at fair value (cost of $16,684 and $13,262, respectively) (Note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16,650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 (cost of $318,831 and $250,921, respectively) (Note 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Restricted investments in money market funds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Borrowings (Note 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152,050</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126,853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and 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December 31, 2019 and 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15,730,755 and 11,702,594 shares issued</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15,563,290 and 11,535,129 shares outstanding as of December 31, 2019 and 2018, respectively</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226,660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179,616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(42,621)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8520" w:type="dxa"/>
            <w:vAlign w:val="bottom"/>
            <w:gridSpan w:val="5"/>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540" w:type="dxa"/>
            <w:vAlign w:val="bottom"/>
            <w:gridSpan w:val="3"/>
          </w:tcPr>
          <w:p>
            <w:pPr>
              <w:jc w:val="center"/>
              <w:ind w:left="38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540" w:type="dxa"/>
            <w:vAlign w:val="bottom"/>
            <w:gridSpan w:val="3"/>
          </w:tcPr>
          <w:p>
            <w:pPr>
              <w:jc w:val="center"/>
              <w:ind w:left="38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Interest income on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14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36,247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28,061</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Interest income on affiliate investments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Fee income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Prepayment fee income on non-affiliate investments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Fee income on non-affiliate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Fee income on affiliate investments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fee income</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 income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Dividend income on controlled affiliate investments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dividend income</w:t>
            </w: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investment income</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6,363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5,167</w:t>
            </w: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(Note 3)</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Performance based incentive fee (Note 3)</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 (Note 3)</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Professional fees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8"/>
                <w:szCs w:val="18"/>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shd w:val="clear" w:color="auto" w:fill="CCEEFF"/>
          </w:tcPr>
          <w:p>
            <w:pPr>
              <w:spacing w:after="0"/>
              <w:rPr>
                <w:sz w:val="19"/>
                <w:szCs w:val="19"/>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expenses</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fees waived (Note 3)</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expenses</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excise tax</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excise tax (Note 8)</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non-affiliate investments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(21,191)</w:t>
            </w: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(loss) gain on investments</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non-affiliate investments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unrealized appreciation (depreciation) on affiliate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controlled affiliate investments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unrealized appreciation (depreciation) on investments</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20" w:type="dxa"/>
            <w:vAlign w:val="bottom"/>
          </w:tcPr>
          <w:p>
            <w:pPr>
              <w:spacing w:after="0"/>
              <w:rPr>
                <w:sz w:val="24"/>
                <w:szCs w:val="24"/>
                <w:color w:val="auto"/>
              </w:rPr>
            </w:pPr>
          </w:p>
        </w:tc>
        <w:tc>
          <w:tcPr>
            <w:tcW w:w="42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42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investment income per common share</w:t>
            </w:r>
          </w:p>
        </w:tc>
        <w:tc>
          <w:tcPr>
            <w:tcW w:w="37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1"/>
              </w:rPr>
              <w:t>Net increase in net assets per common share</w:t>
            </w:r>
          </w:p>
        </w:tc>
        <w:tc>
          <w:tcPr>
            <w:tcW w:w="37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vMerge w:val="continue"/>
          </w:tcPr>
          <w:p>
            <w:pPr>
              <w:spacing w:after="0"/>
              <w:rPr>
                <w:sz w:val="20"/>
                <w:szCs w:val="20"/>
                <w:color w:val="auto"/>
              </w:rPr>
            </w:pPr>
          </w:p>
        </w:tc>
        <w:tc>
          <w:tcPr>
            <w:tcW w:w="37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3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3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13,478,234</w:t>
            </w: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11,527,777</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11,516,846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in Excess of</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8"/>
              </w:rPr>
              <w:t>Distributable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Total Net</w:t>
            </w:r>
          </w:p>
        </w:tc>
      </w:tr>
      <w:tr>
        <w:trPr>
          <w:trHeight w:val="223"/>
        </w:trPr>
        <w:tc>
          <w:tcPr>
            <w:tcW w:w="52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Assets</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11,510,424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w w:val="92"/>
              </w:rPr>
              <w:t>Net decrease in net assets resulting from operations, net of excise tax:</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12,297</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(21,191)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(21,191)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15,905</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(5,923)</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(13,823)</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permanent tax differences (Note 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11,520,406</w:t>
            </w:r>
          </w:p>
        </w:tc>
        <w:tc>
          <w:tcPr>
            <w:tcW w:w="2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12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 in net assets resulting from operations, net of excise tax:</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investment income, net of excise tax</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13,866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13,866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(1,501)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14,723</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(13,837)</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Reclassification of permanent tax differences (Note 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11,535,129</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Issuance of common stock, net of offering costs</w:t>
            </w:r>
          </w:p>
        </w:tc>
        <w:tc>
          <w:tcPr>
            <w:tcW w:w="1020" w:type="dxa"/>
            <w:vAlign w:val="bottom"/>
          </w:tcPr>
          <w:p>
            <w:pPr>
              <w:jc w:val="right"/>
              <w:spacing w:after="0"/>
              <w:rPr>
                <w:sz w:val="20"/>
                <w:szCs w:val="20"/>
                <w:color w:val="auto"/>
              </w:rPr>
            </w:pPr>
            <w:r>
              <w:rPr>
                <w:rFonts w:ascii="Arial" w:cs="Arial" w:eastAsia="Arial" w:hAnsi="Arial"/>
                <w:sz w:val="18"/>
                <w:szCs w:val="18"/>
                <w:color w:val="auto"/>
              </w:rPr>
              <w:t>4,012,844</w:t>
            </w:r>
          </w:p>
        </w:tc>
        <w:tc>
          <w:tcPr>
            <w:tcW w:w="220" w:type="dxa"/>
            <w:vAlign w:val="bottom"/>
          </w:tcPr>
          <w:p>
            <w:pPr>
              <w:spacing w:after="0"/>
              <w:rPr>
                <w:sz w:val="18"/>
                <w:szCs w:val="18"/>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 in net assets resulting from operations, net of excise tax:</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investment income, net of excise tax</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20,470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15,317</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(16,987)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(16,987)</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permanent tax differences (Note 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15,563,290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8520" w:type="dxa"/>
            <w:vAlign w:val="bottom"/>
            <w:gridSpan w:val="5"/>
          </w:tcPr>
          <w:p>
            <w:pPr>
              <w:ind w:left="3440"/>
              <w:spacing w:after="0"/>
              <w:rPr>
                <w:sz w:val="20"/>
                <w:szCs w:val="20"/>
                <w:color w:val="auto"/>
              </w:rPr>
            </w:pPr>
            <w:r>
              <w:rPr>
                <w:rFonts w:ascii="Arial" w:cs="Arial" w:eastAsia="Arial" w:hAnsi="Arial"/>
                <w:sz w:val="18"/>
                <w:szCs w:val="18"/>
                <w:b w:val="1"/>
                <w:bCs w:val="1"/>
                <w:color w:val="auto"/>
              </w:rPr>
              <w:t>Horizon Technology Finance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8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Consolidated Statements of Cash Flow</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80" w:type="dxa"/>
            <w:vAlign w:val="bottom"/>
          </w:tcPr>
          <w:p>
            <w:pPr>
              <w:ind w:left="51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19,498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13,010</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9,591</w:t>
            </w: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 used in</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(18,485)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(101,257)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(135,556)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129,190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84,439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103,790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controlled affiliate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4,453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Distributions from controlled affiliate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Equity received in settlement of fee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Warrants received in settlement of fee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(Increase) decrease in interest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end-of-term payments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Decrease in unearned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Increase (decrease) in other accrued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base management fee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Increase in incentive fee payable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r>
      <w:tr>
        <w:trPr>
          <w:trHeight w:val="210"/>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offering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2022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37,375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Repayment of 2019 Notes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Asset-Backed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Advances on credit facility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Financing costs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(30,541)</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6,594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37,135</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8480" w:type="dxa"/>
            <w:vAlign w:val="bottom"/>
            <w:gridSpan w:val="5"/>
          </w:tcPr>
          <w:p>
            <w:pPr>
              <w:ind w:left="3440"/>
              <w:spacing w:after="0"/>
              <w:rPr>
                <w:sz w:val="20"/>
                <w:szCs w:val="20"/>
                <w:color w:val="auto"/>
              </w:rPr>
            </w:pPr>
            <w:r>
              <w:rPr>
                <w:rFonts w:ascii="Arial" w:cs="Arial" w:eastAsia="Arial" w:hAnsi="Arial"/>
                <w:sz w:val="18"/>
                <w:szCs w:val="18"/>
                <w:b w:val="1"/>
                <w:bCs w:val="1"/>
                <w:color w:val="auto"/>
                <w:w w:val="99"/>
              </w:rPr>
              <w:t>Horizon Technology Finance Corporation and Subsidiaries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8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Consolidated Statements of Cash Flow</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420" w:type="dxa"/>
            <w:vAlign w:val="bottom"/>
            <w:gridSpan w:val="2"/>
          </w:tcPr>
          <w:p>
            <w:pPr>
              <w:jc w:val="right"/>
              <w:ind w:right="1025"/>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b w:val="1"/>
                <w:bCs w:val="1"/>
                <w:color w:val="auto"/>
                <w:w w:val="96"/>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9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7,671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5,671</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non-cash investing and financing activities:</w:t>
            </w:r>
          </w:p>
        </w:tc>
        <w:tc>
          <w:tcPr>
            <w:tcW w:w="2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960" w:type="dxa"/>
            <w:vAlign w:val="bottom"/>
          </w:tcPr>
          <w:p>
            <w:pPr>
              <w:ind w:left="180"/>
              <w:spacing w:after="0"/>
              <w:rPr>
                <w:sz w:val="20"/>
                <w:szCs w:val="20"/>
                <w:color w:val="auto"/>
              </w:rPr>
            </w:pPr>
            <w:r>
              <w:rPr>
                <w:rFonts w:ascii="Arial" w:cs="Arial" w:eastAsia="Arial" w:hAnsi="Arial"/>
                <w:sz w:val="18"/>
                <w:szCs w:val="18"/>
                <w:color w:val="auto"/>
                <w:w w:val="92"/>
              </w:rPr>
              <w:t>Warrant investments received and recorded as unearned income</w:t>
            </w:r>
          </w:p>
        </w:tc>
        <w:tc>
          <w:tcPr>
            <w:tcW w:w="2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2,723</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1,457</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Distributions payable</w:t>
            </w:r>
          </w:p>
        </w:tc>
        <w:tc>
          <w:tcPr>
            <w:tcW w:w="2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w w:val="84"/>
              </w:rPr>
              <w:t>4,669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180"/>
              <w:spacing w:after="0"/>
              <w:rPr>
                <w:sz w:val="20"/>
                <w:szCs w:val="20"/>
                <w:color w:val="auto"/>
              </w:rPr>
            </w:pPr>
            <w:r>
              <w:rPr>
                <w:rFonts w:ascii="Arial" w:cs="Arial" w:eastAsia="Arial" w:hAnsi="Arial"/>
                <w:sz w:val="18"/>
                <w:szCs w:val="18"/>
                <w:color w:val="auto"/>
              </w:rPr>
              <w:t>End of term payments receivable</w:t>
            </w:r>
          </w:p>
        </w:tc>
        <w:tc>
          <w:tcPr>
            <w:tcW w:w="2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vMerge w:val="continue"/>
          </w:tcPr>
          <w:p>
            <w:pPr>
              <w:spacing w:after="0"/>
              <w:rPr>
                <w:sz w:val="20"/>
                <w:szCs w:val="20"/>
                <w:color w:val="auto"/>
              </w:rPr>
            </w:pPr>
          </w:p>
        </w:tc>
        <w:tc>
          <w:tcPr>
            <w:tcW w:w="2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color w:val="auto"/>
                <w:w w:val="84"/>
              </w:rPr>
              <w:t>3,900</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3,015</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income</w:t>
            </w:r>
          </w:p>
        </w:tc>
        <w:tc>
          <w:tcPr>
            <w:tcW w:w="2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w w:val="84"/>
              </w:rPr>
              <w:t>3,584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b w:val="1"/>
                <w:bCs w:val="1"/>
                <w:color w:val="auto"/>
                <w:w w:val="96"/>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6,465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Investments in money market funds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9,787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 in money market funds</w:t>
            </w: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3"/>
              </w:rPr>
              <w:t>17,385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 (1)(3)</w:t>
            </w:r>
          </w:p>
        </w:tc>
        <w:tc>
          <w:tcPr>
            <w:tcW w:w="22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Sector</w:t>
            </w:r>
          </w:p>
        </w:tc>
        <w:tc>
          <w:tcPr>
            <w:tcW w:w="35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Type of Investment (4)(7)(9)(10)</w:t>
            </w: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Cost of</w:t>
            </w: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Non-Affiliate Investments — 160.0% (8)</w:t>
            </w:r>
          </w:p>
        </w:tc>
        <w:tc>
          <w:tcPr>
            <w:tcW w:w="2220" w:type="dxa"/>
            <w:vAlign w:val="bottom"/>
            <w:tcBorders>
              <w:top w:val="single" w:sz="8" w:color="auto"/>
            </w:tcBorders>
            <w:shd w:val="clear" w:color="auto" w:fill="CCEEFF"/>
          </w:tcPr>
          <w:p>
            <w:pPr>
              <w:spacing w:after="0"/>
              <w:rPr>
                <w:sz w:val="12"/>
                <w:szCs w:val="12"/>
                <w:color w:val="auto"/>
              </w:rPr>
            </w:pPr>
          </w:p>
        </w:tc>
        <w:tc>
          <w:tcPr>
            <w:tcW w:w="3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153.5% (8)</w:t>
            </w: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55.9% (8)</w:t>
            </w:r>
          </w:p>
        </w:tc>
        <w:tc>
          <w:tcPr>
            <w:tcW w:w="3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Celsion Corporation (2)(5)(12)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(9.63% cash (Libor + 7.63%;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9.63%), 4.00% ETP, Due 7/1/22)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2,500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2,464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(9.63% cash (Libor + 7.63%;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9.63%), 4.00% ETP, Due 7/1/22)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Encore Dermatology,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(10.00% cash (Libor + 7.50%;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10.00%), 3.00% ETP, Due 4/1/23)</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4,929</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(10.00% cash (Libor + 7.50%;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10.00%), 3.00% ETP, Due 4/1/23)</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4,929</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Espero BioPharma,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(12.00% cash (Libor + 9.25%;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12.00%), 5.10% ETP, Due 3/31/20) (11)</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5,053</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5,053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(12.00% cash (Libor + 9.25%;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12.00%), 5.10% ETP, Due 3/31/20) (11)</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4,802</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4,802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LogicBio, Inc.(2)(5)(12)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(8.75 % cash (Libor + 6.25%;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8.75%), 4.50% ETP, Due 6/1/24</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4,970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4,970</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Mustang Bio, Inc. (2)(5)(12)</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(9.00% cash (Libor + 6.50%;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9.00%), 5.00% ETP, Due 10/1/22)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4,827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4,827</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(9.00% cash (Libor + 6.50%;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9.00%), 5.00% ETP, Due 10/1/22)</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4,924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4,924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(2)(5)(12)</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(11.69% cash (Libor + 10.00%;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10.50%), 6.00% ETP, Due 5/1/20)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1,042</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(11.69% cash (Libor + 10.00%;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10.50%), 6.00% ETP, Due 10/1/20)</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1,406</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1,393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Titan Pharmaceuticals, Inc. (2)(5)(12)</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Drug Delivery</w:t>
            </w: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(10.09% cash (Libor + 8.40%;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9.50%), 5.00% ETP, Due 6/1/22)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1,533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Conventus Orthopaedics,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(9.69% cash (Libor + 8.00%;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9.25%), 8.33% ETP, Due 7/1/23)</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5,311</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5,233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5,233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(9.69% cash (Libor + 8.00%;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9.25%), 8.33% ETP, Due 7/1/23)</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5,311</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5,233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5,233</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CSA Medical,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(10.00% cash (Libor + 8.20%;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10.00%), 5.00% ETP, Due 1/1/24)</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3,750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3,637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3,637</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(10.00% cash (Libor + 8.20%;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10.00%), 5.00% ETP, Due 1/1/24)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CVRx,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(10.00% cash (Libor + 7.80%;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10.00%), 3.50% ETP, Due 4/1/24)</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4,934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(10.00% cash (Libor + 7.80%;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10.00%), 3.50% ETP, Due 4/1/24)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(10.00% cash (Libor + 7.80%;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10.00%), 3.50% ETP, Due 4/1/24)</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4,934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(10.00% cash (Libor + 7.80%;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10.00%), 3.50% ETP, Due 4/1/24)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Lantos Technologies, Inc.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(10.12% cash (Libor + 8.43%;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10.00%), 10.00% ETP, Due 4/1/21)</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3,433</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3,143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3,143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MacuLogix, Inc. (2)(12)</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(10.08% cash (Libor + 7.68%;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10.08%), 4.00% ETP, Due 10/1/23)</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7,356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(10.08% cash (Libor + 7.68%;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10.08%), 4.00% ETP, Due 10/1/23)</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4,050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3,993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Meditrina, Inc. (2)(12)</w:t>
            </w: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(9.70% cash (Libor + 7.10%;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9.70%), 4.00% ETP, Due 5/1/20)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2,966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VERO Biotech LLC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(9.69% cash (Libor + 8.00%;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9.25%), 5.00% ETP, Due 1/1/22)</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3,967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3,967</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(9.69% cash (Libor + 8.00%;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9.25%), 5.00% ETP, Due 1/1/22)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3,967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3,967</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3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102,799</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102,799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84.8% (8)</w:t>
            </w:r>
          </w:p>
        </w:tc>
        <w:tc>
          <w:tcPr>
            <w:tcW w:w="3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Audacy Corporation (2)(12)(15)</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Communications</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(9.59% cash (Libor + 7.90%;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9.50%), 5.00% ETP, Due 7/1/22)</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3,641</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3,580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54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Term Loan (9.59% cash (Libor + 7.90%;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9.50%), Due 2/1/20)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Betabrand Corporation (2)(12)</w:t>
            </w: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Consumer-related Technologies</w:t>
            </w:r>
          </w:p>
        </w:tc>
        <w:tc>
          <w:tcPr>
            <w:tcW w:w="354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Term Loan (10.05% cash (Libor + 7.50%;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40" w:type="dxa"/>
            <w:vAlign w:val="bottom"/>
            <w:gridSpan w:val="2"/>
          </w:tcPr>
          <w:p>
            <w:pPr>
              <w:ind w:left="260"/>
              <w:spacing w:after="0"/>
              <w:rPr>
                <w:sz w:val="20"/>
                <w:szCs w:val="20"/>
                <w:color w:val="auto"/>
              </w:rPr>
            </w:pPr>
            <w:r>
              <w:rPr>
                <w:rFonts w:ascii="Arial" w:cs="Arial" w:eastAsia="Arial" w:hAnsi="Arial"/>
                <w:sz w:val="14"/>
                <w:szCs w:val="14"/>
                <w:color w:val="auto"/>
              </w:rPr>
              <w:t>10.05%), 4.50% ETP, Due 9/1/23)</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4,250</w:t>
            </w:r>
          </w:p>
        </w:tc>
        <w:tc>
          <w:tcPr>
            <w:tcW w:w="2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4,115</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(10.05% cash (Libor + 7.50%; Floor</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10.05%), 4.50% ETP, Due 9/1/23)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4,182</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Mohawk Group Holdings, Inc. (2)(5)(12)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(9.90% cash (Libor + 7.40%;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9.90%), 4.00% ETP, Due 1/1/23)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4,914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(9.90% cash (Libor + 7.40%;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9.90%), 4.00% ETP, Due 1/1/23)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4,914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(9.90% cash (Libor + 7.40%;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9.90%), 4.00% ETP, Due 1/1/23)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4,914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Updater, Inc.(2)(12)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(11.50% cash (Prime + 5.75%;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11.50%, Ceiling 14.00%),0.56% ETP, Due 12/20/24)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(11.50% cash (Prime + 5.75%;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w w:val="99"/>
              </w:rPr>
              <w:t>11.50%, Ceiling 14.00%), 0.56% ETP, Due 12/20/24)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4,935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(11.50% cash (Prime + 5.75%;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11.50%, Ceiling 14.00%), 0.56% ETP, Due 12/20/24)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9,870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9,870</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Canara,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Data Storage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(11.00% cash (Libor + 8.60%;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11.00%), 1.00% ETP, Due 2/1/23)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4,868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4,868</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(11.00% cash (Libor + 8.60%;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11.00%), 1.00% ETP, Due 2/1/23)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4,868</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Kaminario,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Data Storage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(10.65% cash (Libor + 8.40%;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10.65%), 3.00% ETP, Due 1/1/23)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4,938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(10.65% cash (Libor + 8.40%;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10.65%), 3.00% ETP, Due 1/1/23)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(10.65% cash (Libor + 8.40%;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10.65%), 3.00% ETP, Due 7/1/23)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4,840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4,840</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IgnitionOne, Inc. (2)(12)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(11.92% cash (Libor + 10.23%;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(11.92% cash (Libor + 10.23%;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2,911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(11.92% cash (Libor + 10.23%;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2,812</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(11.92% cash (Libor + 10.23%;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2,911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Skillshare, Inc.(2)(12)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(9.50% cash (Libor + 7.50%;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9.50%), 5.00% ETP, Due 1/1/25)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(9.50% cash (Libor + 7.50%;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9.50%), 5.00% ETP, Due 1/1/25)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2,946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(9.50% cash (Libor + 7.50%;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9.50%), 5.00% ETP, Due 1/1/25)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2,946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Verve Wireless,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(15.80% cash (Libor + 8.80%;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10.80%), 3.33% ETP, Due 9/1/21)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2,400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2,320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Materials</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(11.00% cash (Libor + 8.50%;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11.00%), 4.00% ETP, Due 6/1/22)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(11.00% cash (Libor + 8.50%;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11.00%), 4.00% ETP, Due 6/1/22)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4,250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4,205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Kinestral Technologies, Inc.(2)(12)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Power Management</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(9.95% cash (Libor + 7.75%;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9.95%), 5.00% ETP, Due 12/1/22)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5,442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5,442</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(9.95% cash (Libor + 7.75%;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9.95%), 5.00% ETP, Due 12/1/22)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5,765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5,765</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LLC. (2)(12)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(11.00% cash (Libor + 8.40%;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11.00%), 2.00% ETP, Due 6/1/23)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(11.00% cash (Libor + 8.40%;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11.00%), 2.00% ETP, Due 6/1/23)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6,250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6,120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(11.00% cash (Libor + 8.40%;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11.00%), 2.00% ETP, Due 9/1/23)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New Signature US, Inc. (2)(12)(13)</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(10.50% cash (Libor + 8.50%;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10.50%), 3.50% ETP, Due 7/1/22)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2,750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2,721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(10.50% cash (Libor + 8.50%;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10.50%), 3.50% ETP, Due 2/1/23)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OutboundEngine,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(11.15% cash (Libor + 8.40%;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11.15%), 3.00% ETP, Due 7/1/23)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3,929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(11.15% cash (Libor + 8.40%; Floor</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11.15%), 3.00% ETP, Due 7/1/23)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line="130" w:lineRule="exact"/>
              <w:rPr>
                <w:sz w:val="20"/>
                <w:szCs w:val="20"/>
                <w:color w:val="auto"/>
              </w:rPr>
            </w:pPr>
            <w:r>
              <w:rPr>
                <w:rFonts w:ascii="Arial" w:cs="Arial" w:eastAsia="Arial" w:hAnsi="Arial"/>
                <w:sz w:val="14"/>
                <w:szCs w:val="14"/>
                <w:color w:val="auto"/>
              </w:rPr>
              <w:t>Revinate,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(9.50% cash (Libor + 7.00%;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9.50%), 4.00% ETP, Due 6/1/23)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928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(9.50% cash (Libor + 7.00%;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9.50%), 4.00% ETP, Due 11/1/23)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line="130" w:lineRule="exact"/>
              <w:rPr>
                <w:sz w:val="20"/>
                <w:szCs w:val="20"/>
                <w:color w:val="auto"/>
              </w:rPr>
            </w:pPr>
            <w:r>
              <w:rPr>
                <w:rFonts w:ascii="Arial" w:cs="Arial" w:eastAsia="Arial" w:hAnsi="Arial"/>
                <w:sz w:val="14"/>
                <w:szCs w:val="14"/>
                <w:color w:val="auto"/>
              </w:rPr>
              <w:t>SIGNiX, Inc. (12)(15)</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(12.69% cash (Libor + 11.00%;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11.50%), 8.67% ETP, Due 2/1/20)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1,571</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1,569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xAd, Inc. (2)(12)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(10.39% cash (Libor + 8.70%;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10.00%), 4.75% ETP, Due 11/1/21)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4,583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(10.39% cash (Libor + 8.70%;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10.00%), 4.75% ETP, Due 11/1/21)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4,583</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4,533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4,533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(10.39% cash (Libor + 8.70%;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10.00%), 4.75% ETP, Due 11/1/21)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(10.39% cash (Libor + 8.70%;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10.00%), 4.75% ETP, Due 11/1/21)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1,833</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1,813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159,751</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156,052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Healthcare information and services — 12.8% (8)</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line="130" w:lineRule="exact"/>
              <w:rPr>
                <w:sz w:val="20"/>
                <w:szCs w:val="20"/>
                <w:color w:val="auto"/>
              </w:rPr>
            </w:pPr>
            <w:r>
              <w:rPr>
                <w:rFonts w:ascii="Arial" w:cs="Arial" w:eastAsia="Arial" w:hAnsi="Arial"/>
                <w:sz w:val="14"/>
                <w:szCs w:val="14"/>
                <w:color w:val="auto"/>
              </w:rPr>
              <w:t>Kate Farms,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Other Healthcare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(9.75% cash (Libor + 7.45%;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9.75%), 5.00% ETP, Due 10/1/23)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4,852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(9.75% cash (Libor + 7.45%;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9.75%), 5.00% ETP, Due 10/1/23)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line="130" w:lineRule="exact"/>
              <w:rPr>
                <w:sz w:val="20"/>
                <w:szCs w:val="20"/>
                <w:color w:val="auto"/>
              </w:rPr>
            </w:pPr>
            <w:r>
              <w:rPr>
                <w:rFonts w:ascii="Arial" w:cs="Arial" w:eastAsia="Arial" w:hAnsi="Arial"/>
                <w:sz w:val="14"/>
                <w:szCs w:val="14"/>
                <w:color w:val="auto"/>
              </w:rPr>
              <w:t>HealthEdge Software, Inc. (2)(12)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(9.94% cash (Libor + 8.25%;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9.25%), 3.00% ETP, Due 7/1/22)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3,571</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3,533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3,533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(9.94% cash (Libor + 8.25%;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9.25%), 3.00% ETP, Due 1/1/23)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3,214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(9.94% cash (Libor + 8.25%;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9.25%), 3.00% ETP, Due 4/1/23)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3,482</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3,444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(9.94% cash (Libor + 8.25%;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9.25%), 3.00% ETP, Due 1/1/24)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Non-Affiliate Debt Investments — Healthcare information and services</w:t>
            </w: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23,635</w:t>
            </w:r>
          </w:p>
        </w:tc>
        <w:tc>
          <w:tcPr>
            <w:tcW w:w="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 Affiliate Debt Investments</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286,185</w:t>
            </w:r>
          </w:p>
        </w:tc>
        <w:tc>
          <w:tcPr>
            <w:tcW w:w="2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282,486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 Investments — 5.9%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Non-Affiliate Warrants — Life Science — 0.7%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4,632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Celsion Corporation (2)(5)(12)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95,057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Corvium,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661,956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Encore Dermatology, Inc.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1,510,878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Espero BioPharma,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1,507,917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LogicBio, Inc. (2)(5)(12)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7,843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Mustang Bio, Inc. (2)(5)(12)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216,138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w w:val="93"/>
              </w:rPr>
              <w:t>Rocket Pharmaceuticals Corporation (5)(12)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7,051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274,725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Revance Therapeutics, Inc. (5)(12)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34,113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Strongbridge U.S. Inc. (2)(5)(12)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160,714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Sunesis Pharmaceuticals, Inc. (5)(12)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2,050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vTv Therapeutics Inc. (2)(5)(12)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95,293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Titan Pharmaceuticals, Inc. (2)(5)(12)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Drug Delivery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373,333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AccuVein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1,174,881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Aerin Medical, Inc.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1,818,183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Conventus Orthopaedics,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1,145,000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CSA Medical, Inc.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1,260,345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CVRx, Inc.(2)(12)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750,000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Lantos Technologies, Inc.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560,832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MacuLogix,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454,460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Meditrina, Inc.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221,510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29,102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380" w:type="dxa"/>
            <w:vAlign w:val="bottom"/>
          </w:tcPr>
          <w:p>
            <w:pPr>
              <w:ind w:left="98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4060" w:type="dxa"/>
            <w:vAlign w:val="bottom"/>
            <w:gridSpan w:val="2"/>
          </w:tcPr>
          <w:p>
            <w:pPr>
              <w:ind w:left="940"/>
              <w:spacing w:after="0"/>
              <w:rPr>
                <w:sz w:val="20"/>
                <w:szCs w:val="20"/>
                <w:color w:val="auto"/>
              </w:rPr>
            </w:pPr>
            <w:r>
              <w:rPr>
                <w:rFonts w:ascii="Arial" w:cs="Arial" w:eastAsia="Arial" w:hAnsi="Arial"/>
                <w:sz w:val="14"/>
                <w:szCs w:val="14"/>
                <w:b w:val="1"/>
                <w:bCs w:val="1"/>
                <w:color w:val="auto"/>
              </w:rPr>
              <w:t>Type of Investment (4)(7)(9)(10)</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VERO Biotech LLC (2)(12)</w:t>
            </w:r>
          </w:p>
        </w:tc>
        <w:tc>
          <w:tcPr>
            <w:tcW w:w="12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Medical Device</w:t>
            </w:r>
          </w:p>
        </w:tc>
        <w:tc>
          <w:tcPr>
            <w:tcW w:w="100" w:type="dxa"/>
            <w:vAlign w:val="bottom"/>
            <w:tcBorders>
              <w:top w:val="single" w:sz="8" w:color="CCEEFF"/>
            </w:tcBorders>
            <w:shd w:val="clear" w:color="auto" w:fill="CCEEFF"/>
          </w:tcPr>
          <w:p>
            <w:pPr>
              <w:spacing w:after="0"/>
              <w:rPr>
                <w:sz w:val="13"/>
                <w:szCs w:val="13"/>
                <w:color w:val="auto"/>
              </w:rPr>
            </w:pPr>
          </w:p>
        </w:tc>
        <w:tc>
          <w:tcPr>
            <w:tcW w:w="38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408 Preferred Stock Warrants</w:t>
            </w:r>
          </w:p>
        </w:tc>
        <w:tc>
          <w:tcPr>
            <w:tcW w:w="2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w:t>
            </w: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2,127</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Technology — 4.8% (8)</w:t>
            </w: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Audacy Corporation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1,545,575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2,134,617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PebblePost,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598,850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Betabrand Corporation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248,210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Caastle,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268,591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 Tote,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202,974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Mohawk Group Holdings, Inc. (2)(5)(12)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76,923 Common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852,273 Common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Updater, Inc.(2)(12)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108,333 Common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Canara,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Data Storage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500,000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Kaminario,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Data Storage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18,616,925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Global Worldwide LLC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245,810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IgnitionOne,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262,910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261,721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Skillshare,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173,717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Verve Wireless,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112,805 Common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The NanoSteel Company,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Materials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467,277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Kinestral,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 Management</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3,454,774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Avalanche Technology,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Semiconductors</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202,602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Soraa,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203,616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Bridge2 Solutions,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172,958 Common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BSI Platform Holdings, LLC (2)(12)(13)</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187,500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 (12)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53,486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238,121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Lotame Solutions,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288,115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OutboundEngine,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600,000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Revinate,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459,770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321,428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193,962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 (12)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133,560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Skyword, Inc. (12)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301,056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375,000 Common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195,122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xAd, Inc. (2)(12)</w:t>
            </w: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4,343,348 Preferred Stock Warrants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5,510</w:t>
            </w:r>
          </w:p>
        </w:tc>
        <w:tc>
          <w:tcPr>
            <w:tcW w:w="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8,891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Sustainability — 0.0% (8)</w:t>
            </w: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Tigo Energy, Inc. (2)(12)</w:t>
            </w:r>
          </w:p>
        </w:tc>
        <w:tc>
          <w:tcPr>
            <w:tcW w:w="2380" w:type="dxa"/>
            <w:vAlign w:val="bottom"/>
          </w:tcPr>
          <w:p>
            <w:pPr>
              <w:spacing w:after="0"/>
              <w:rPr>
                <w:sz w:val="20"/>
                <w:szCs w:val="20"/>
                <w:color w:val="auto"/>
              </w:rPr>
            </w:pPr>
            <w:r>
              <w:rPr>
                <w:rFonts w:ascii="Arial" w:cs="Arial" w:eastAsia="Arial" w:hAnsi="Arial"/>
                <w:sz w:val="14"/>
                <w:szCs w:val="14"/>
                <w:color w:val="auto"/>
              </w:rPr>
              <w:t>Energy Efficiency</w:t>
            </w:r>
          </w:p>
        </w:tc>
        <w:tc>
          <w:tcPr>
            <w:tcW w:w="4160" w:type="dxa"/>
            <w:vAlign w:val="bottom"/>
            <w:gridSpan w:val="3"/>
          </w:tcPr>
          <w:p>
            <w:pPr>
              <w:ind w:left="100"/>
              <w:spacing w:after="0"/>
              <w:rPr>
                <w:sz w:val="20"/>
                <w:szCs w:val="20"/>
                <w:color w:val="auto"/>
              </w:rPr>
            </w:pPr>
            <w:r>
              <w:rPr>
                <w:rFonts w:ascii="Arial" w:cs="Arial" w:eastAsia="Arial" w:hAnsi="Arial"/>
                <w:sz w:val="14"/>
                <w:szCs w:val="14"/>
                <w:color w:val="auto"/>
              </w:rPr>
              <w:t>804,604 Preferred Stock Warrants</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Sustainability</w:t>
            </w:r>
          </w:p>
        </w:tc>
        <w:tc>
          <w:tcPr>
            <w:tcW w:w="2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0.4% (8)</w:t>
            </w: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ProterixBio,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2,676 Common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Kate Farms, Inc. (2)(12)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69,137 Preferred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27,373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Catasys, Inc. (2)(5)(12)</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51,185 Common Stock Warrants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(2)(12)</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205,481 Preferred Stock Warrants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Medsphere Systems Corporation (2)(12)</w:t>
            </w:r>
          </w:p>
        </w:tc>
        <w:tc>
          <w:tcPr>
            <w:tcW w:w="2380" w:type="dxa"/>
            <w:vAlign w:val="bottom"/>
          </w:tcPr>
          <w:p>
            <w:pPr>
              <w:spacing w:after="0"/>
              <w:rPr>
                <w:sz w:val="20"/>
                <w:szCs w:val="20"/>
                <w:color w:val="auto"/>
              </w:rPr>
            </w:pPr>
            <w:r>
              <w:rPr>
                <w:rFonts w:ascii="Arial" w:cs="Arial" w:eastAsia="Arial" w:hAnsi="Arial"/>
                <w:sz w:val="14"/>
                <w:szCs w:val="14"/>
                <w:color w:val="auto"/>
              </w:rPr>
              <w:t>Software</w:t>
            </w:r>
          </w:p>
        </w:tc>
        <w:tc>
          <w:tcPr>
            <w:tcW w:w="4160" w:type="dxa"/>
            <w:vAlign w:val="bottom"/>
            <w:gridSpan w:val="3"/>
          </w:tcPr>
          <w:p>
            <w:pPr>
              <w:ind w:left="100"/>
              <w:spacing w:after="0"/>
              <w:rPr>
                <w:sz w:val="20"/>
                <w:szCs w:val="20"/>
                <w:color w:val="auto"/>
              </w:rPr>
            </w:pPr>
            <w:r>
              <w:rPr>
                <w:rFonts w:ascii="Arial" w:cs="Arial" w:eastAsia="Arial" w:hAnsi="Arial"/>
                <w:sz w:val="14"/>
                <w:szCs w:val="14"/>
                <w:color w:val="auto"/>
              </w:rPr>
              <w:t>7,097,792 Preferred Stock Warrants</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100" w:type="dxa"/>
            <w:vAlign w:val="bottom"/>
            <w:tcBorders>
              <w:top w:val="single" w:sz="8" w:color="CCEEFF"/>
            </w:tcBorders>
            <w:shd w:val="clear" w:color="auto" w:fill="CCEEFF"/>
          </w:tcPr>
          <w:p>
            <w:pPr>
              <w:spacing w:after="0"/>
              <w:rPr>
                <w:sz w:val="12"/>
                <w:szCs w:val="12"/>
                <w:color w:val="auto"/>
              </w:rPr>
            </w:pPr>
          </w:p>
        </w:tc>
        <w:tc>
          <w:tcPr>
            <w:tcW w:w="38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8,276</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10,829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Non-Affiliate Other Investments — 0.3% (8)</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ZetrOZ, Inc. (12)</w:t>
            </w: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Medical Device</w:t>
            </w:r>
          </w:p>
        </w:tc>
        <w:tc>
          <w:tcPr>
            <w:tcW w:w="4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Royalty Agreement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Equity — 0.3% (8)</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5,249 Common Stock</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Inc.(5)</w:t>
            </w: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4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5,125 Common Stock</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41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13,082 Common Stock</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SnagAJob.com, Inc. (12)</w:t>
            </w:r>
          </w:p>
        </w:tc>
        <w:tc>
          <w:tcPr>
            <w:tcW w:w="2380" w:type="dxa"/>
            <w:vAlign w:val="bottom"/>
          </w:tcPr>
          <w:p>
            <w:pPr>
              <w:spacing w:after="0"/>
              <w:rPr>
                <w:sz w:val="20"/>
                <w:szCs w:val="20"/>
                <w:color w:val="auto"/>
              </w:rPr>
            </w:pPr>
            <w:r>
              <w:rPr>
                <w:rFonts w:ascii="Arial" w:cs="Arial" w:eastAsia="Arial" w:hAnsi="Arial"/>
                <w:sz w:val="14"/>
                <w:szCs w:val="14"/>
                <w:color w:val="auto"/>
              </w:rPr>
              <w:t>Consumer-related Technologies</w:t>
            </w:r>
          </w:p>
        </w:tc>
        <w:tc>
          <w:tcPr>
            <w:tcW w:w="4160" w:type="dxa"/>
            <w:vAlign w:val="bottom"/>
            <w:gridSpan w:val="3"/>
          </w:tcPr>
          <w:p>
            <w:pPr>
              <w:ind w:left="100"/>
              <w:spacing w:after="0"/>
              <w:rPr>
                <w:sz w:val="20"/>
                <w:szCs w:val="20"/>
                <w:color w:val="auto"/>
              </w:rPr>
            </w:pPr>
            <w:r>
              <w:rPr>
                <w:rFonts w:ascii="Arial" w:cs="Arial" w:eastAsia="Arial" w:hAnsi="Arial"/>
                <w:sz w:val="14"/>
                <w:szCs w:val="14"/>
                <w:color w:val="auto"/>
              </w:rPr>
              <w:t>82,974 Common Stock</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Cost of</w:t>
            </w: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Verve Wireless, Inc. (2)(12)</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Internet and Media</w:t>
            </w: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100,598 Preferred Stock</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Zeta Global Holdings Corp. (2)(12)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18,405 Common 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Formetrix, Inc. (2)(12)</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Materials</w:t>
            </w: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74,286 Common Stock</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734</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100" w:type="dxa"/>
            <w:vAlign w:val="bottom"/>
            <w:tcBorders>
              <w:bottom w:val="single" w:sz="8" w:color="CCEEFF"/>
            </w:tcBorders>
            <w:shd w:val="clear" w:color="auto" w:fill="CCEEFF"/>
          </w:tcPr>
          <w:p>
            <w:pPr>
              <w:spacing w:after="0"/>
              <w:rPr>
                <w:sz w:val="13"/>
                <w:szCs w:val="13"/>
                <w:color w:val="auto"/>
              </w:rPr>
            </w:pPr>
          </w:p>
        </w:tc>
        <w:tc>
          <w:tcPr>
            <w:tcW w:w="3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295,256</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294,304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Investments — 4.7%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Debt Investments — Technology — 3.2%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 (12)</w:t>
            </w:r>
          </w:p>
        </w:tc>
        <w:tc>
          <w:tcPr>
            <w:tcW w:w="23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(13.998% cash (Libor + 12.31%; Floor</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12.50%), 12.00% ETP, Due 6/1/21)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(14.41% cash (Libor + 12.31%;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12.50%), 12.00% ETP, Due 6/1/21)</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660</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639</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(12.02% cash, Due 6/1/21)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(12.03% cash, Due 6/1/21)</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(12.24% cash, Due 6/1/21)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(13.08% cash, Due 6/1/21)</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283</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283</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(13.10% cash, Due 6/1/21)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line="130" w:lineRule="exact"/>
              <w:rPr>
                <w:sz w:val="20"/>
                <w:szCs w:val="20"/>
                <w:color w:val="auto"/>
              </w:rPr>
            </w:pPr>
            <w:r>
              <w:rPr>
                <w:rFonts w:ascii="Arial" w:cs="Arial" w:eastAsia="Arial" w:hAnsi="Arial"/>
                <w:sz w:val="14"/>
                <w:szCs w:val="14"/>
                <w:color w:val="auto"/>
              </w:rPr>
              <w:t>StereoVision Imaging, Inc. (12)</w:t>
            </w:r>
          </w:p>
        </w:tc>
        <w:tc>
          <w:tcPr>
            <w:tcW w:w="23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(8.72% Cash (Libor + 7.03%; Floor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8.50%), 8.50% ETP, Due 9/1/21) (11)</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2,783</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2,382</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Non-controlled Affiliate Debt Investments — Technology</w:t>
            </w: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5,869</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Decisyon, Inc. (12)</w:t>
            </w: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82,967 Common Stock Warrants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 Warrants — Technology</w:t>
            </w: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Equity — Technology — 1.5%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Decisyon, Inc. (12)</w:t>
            </w: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45,365,936 Common 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StereoVision Imaging, Inc. (12)</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1,943,572 Common Stock</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976</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100" w:type="dxa"/>
            <w:vAlign w:val="bottom"/>
            <w:tcBorders>
              <w:bottom w:val="single" w:sz="8" w:color="CCEEFF"/>
            </w:tcBorders>
            <w:shd w:val="clear" w:color="auto" w:fill="CCEEFF"/>
          </w:tcPr>
          <w:p>
            <w:pPr>
              <w:spacing w:after="0"/>
              <w:rPr>
                <w:sz w:val="13"/>
                <w:szCs w:val="13"/>
                <w:color w:val="auto"/>
              </w:rPr>
            </w:pPr>
          </w:p>
        </w:tc>
        <w:tc>
          <w:tcPr>
            <w:tcW w:w="3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6,891</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8,597</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Controlled Affiliate Investments — 9.0%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9.0%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w w:val="96"/>
              </w:rPr>
              <w:t>Horizon Secured Loan Fund I LLC (12)(14)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16,684</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16,650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100" w:type="dxa"/>
            <w:vAlign w:val="bottom"/>
            <w:tcBorders>
              <w:bottom w:val="single" w:sz="8" w:color="CCEEFF"/>
            </w:tcBorders>
            <w:shd w:val="clear" w:color="auto" w:fill="CCEEFF"/>
          </w:tcPr>
          <w:p>
            <w:pPr>
              <w:spacing w:after="0"/>
              <w:rPr>
                <w:sz w:val="13"/>
                <w:szCs w:val="13"/>
                <w:color w:val="auto"/>
              </w:rPr>
            </w:pPr>
          </w:p>
        </w:tc>
        <w:tc>
          <w:tcPr>
            <w:tcW w:w="3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16,684</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16,650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 — 173.7%(8)</w:t>
            </w: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318,831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gridSpan w:val="2"/>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Short Term Investments — Unrestricted Investments — 5.3%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US Bank Money Market Deposit Account</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9,787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Short Term Investments —Unrestricted Investments</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9,787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Short Term Investments — Restricted Investments—0.6%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US Bank Money Market Deposit Account</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Short Term Investments — Restricted Investments</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investments of the Company are in entities which are organized under the laws of the United States and have a principal place of business in the United States.</w:t>
      </w:r>
    </w:p>
    <w:p>
      <w:pPr>
        <w:spacing w:after="0" w:line="136" w:lineRule="exact"/>
        <w:rPr>
          <w:rFonts w:ascii="Arial" w:cs="Arial" w:eastAsia="Arial" w:hAnsi="Arial"/>
          <w:sz w:val="14"/>
          <w:szCs w:val="14"/>
          <w:color w:val="auto"/>
        </w:rPr>
      </w:pPr>
    </w:p>
    <w:p>
      <w:pPr>
        <w:jc w:val="both"/>
        <w:ind w:left="380" w:hanging="372"/>
        <w:spacing w:after="0" w:line="238"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Has been pledged as collateral under the revolving credit facility with KeyBank National Association (the “Key Facility”) and/or the term debt securitization in connection with which an affiliate of the Company made an offering of $100.0 million in aggregate principal amount of fixed rate asset-backed notes that were issued in conjunction with the $160.0 million securitization of secured loans the Company completed on August 13, 2019 (“the Asset-Backed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ind w:right="-11"/>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jc w:val="both"/>
        <w:ind w:left="372" w:hanging="372"/>
        <w:spacing w:after="0" w:line="257"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8" w:lineRule="exact"/>
        <w:rPr>
          <w:rFonts w:ascii="Arial" w:cs="Arial" w:eastAsia="Arial" w:hAnsi="Arial"/>
          <w:sz w:val="18"/>
          <w:szCs w:val="18"/>
          <w:color w:val="auto"/>
        </w:rPr>
      </w:pPr>
    </w:p>
    <w:p>
      <w:pPr>
        <w:jc w:val="both"/>
        <w:ind w:left="372" w:hanging="372"/>
        <w:spacing w:after="0" w:line="257"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December 31, 2019 is provided.</w:t>
      </w:r>
    </w:p>
    <w:p>
      <w:pPr>
        <w:spacing w:after="0" w:line="188"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372" w:right="20" w:hanging="372"/>
        <w:spacing w:after="0" w:line="264"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2019, 4.9% and 4.8% of the Company’s total assets on a cost and fair value basis, respectively,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372" w:hanging="372"/>
        <w:spacing w:after="0" w:line="259"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rFonts w:ascii="Arial" w:cs="Arial" w:eastAsia="Arial" w:hAnsi="Arial"/>
          <w:sz w:val="18"/>
          <w:szCs w:val="18"/>
          <w:color w:val="auto"/>
        </w:rPr>
      </w:pPr>
    </w:p>
    <w:p>
      <w:pPr>
        <w:jc w:val="both"/>
        <w:ind w:left="372" w:hanging="372"/>
        <w:spacing w:after="0" w:line="255"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193"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2019.</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r>
      <w:tr>
        <w:trPr>
          <w:trHeight w:val="171"/>
        </w:trPr>
        <w:tc>
          <w:tcPr>
            <w:tcW w:w="260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2380" w:type="dxa"/>
            <w:vAlign w:val="bottom"/>
          </w:tcPr>
          <w:p>
            <w:pPr>
              <w:ind w:left="10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Non-Affiliate Investments — 169.6% (8)</w:t>
            </w:r>
          </w:p>
        </w:tc>
        <w:tc>
          <w:tcPr>
            <w:tcW w:w="2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156.3%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49.9%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Celsion Corporation (2)(5)(12)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(9.98% cash (Libor + 7.63%;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9.63%), 4.00% ETP, Due 7/1/22)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2,450</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(9.98% cash (Libor + 7.63%;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9.63%), 4.00% ETP, Due 7/1/22)</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2,500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2,450</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Espero BioPharma,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(12.25% cash (Libor + 9.9%;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12.00%), 4.00% ETP, Due 6/30/19)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4,760</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Palatin Technologies, Inc. (2)(5)(12)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(10.85% cash (Libor + 8.50%;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9.00%), 5.00% ETP, Due 8/1/19)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1,167</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1,156</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(10.85% cash (Libor + 8.50%;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9.00%), 3.27% ETP, Due 8/1/19)</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1,167</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1,167</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(12.35% cash (Libor + 10.00%;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10.50%), 6.00% ETP, Due 5/1/20)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4,167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4,136</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(12.35% cash (Libor + 10.00%;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10.50%), 6.00% ETP, Due 10/1/20)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3,281</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3,250</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Titan Pharmaceuticals, Inc. (2)(5)(12)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Drug Delivery</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(10.75% cash (Libor + 8.40%;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9.50%), 5.00% ETP, Due 6/1/21)</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1,600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Aerin Medical,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3,891</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2,966</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Conventus Orthopaedics, Inc. (2)(12)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3,949</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3,949</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3,949</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CSA Medical,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(10.28% cash (Libor + 7.93%;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10.00%), 5.00% ETP, Due 10/1/22)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5,768</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Lantos Technologies, Inc. (2)(12)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(10.78% cash (Libor + 8.43%;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10.00%), 6.00% ETP, Due 9/1/21)</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3,563</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MacuLogix,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(10.02% cash (Libor + 7.68%;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9.50%), 4.00% ETP, Due 8/1/22)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3,750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3,623</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(10.14% cash (Libor + 7.68%;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9.50%), 4.00% ETP, Due 8/1/22)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3,638</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VERO Biotech LLC (2)(12)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5.00% ETP, Due 1/1/22)</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3,950</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9.25%), 5.00% ETP, Due 1/1/22)</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3,950</w:t>
            </w:r>
          </w:p>
        </w:tc>
      </w:tr>
      <w:tr>
        <w:trPr>
          <w:trHeight w:val="142"/>
        </w:trPr>
        <w:tc>
          <w:tcPr>
            <w:tcW w:w="4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4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88.9%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Audacy Corporation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Communications</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(10.25% cash (Libor + 7.90%;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9.50%), 5.00% ETP, Due 7/1/22)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3,636</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Intelepeer Holdings, Inc. (2)(12)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Communications</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(12.30% cash (Libor + 9.95%;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11.25%), 2.50% ETP, Due 7/1/21)</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3,948</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(12.30% cash (Libor + 9.95%;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11.25%), 2.50% ETP, Due 2/1/21)</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2,955</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Food52,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(10.90% cash (Libor + 8.40%;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10.90%), 3.00% ETP, Due 1/1/23)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(10.90% cash (Libor + 8.40%;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10.90%), 3.00% ETP, Due 1/1/23)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2,918</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Mohawk Group Holdings, Inc. (2)(12)</w:t>
            </w:r>
          </w:p>
        </w:tc>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(9.90% cash (Libor + 7.40%; Floor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4,885</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(9.90% cash (Libor + 7.40%;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4,885</w:t>
            </w:r>
          </w:p>
        </w:tc>
      </w:tr>
      <w:tr>
        <w:trPr>
          <w:trHeight w:val="149"/>
        </w:trPr>
        <w:tc>
          <w:tcPr>
            <w:tcW w:w="2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(9.90% cash (Libor + 7.40%; Floor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4,885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4,885</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Kaminario, Inc. (2)(12)</w:t>
            </w:r>
          </w:p>
        </w:tc>
        <w:tc>
          <w:tcPr>
            <w:tcW w:w="23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Data Storage</w:t>
            </w:r>
          </w:p>
        </w:tc>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(10.87% cash (Libor + 8.40%; Floor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10.65%), 3.00% ETP, Due 1/1/23)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4,918</w:t>
            </w:r>
          </w:p>
        </w:tc>
      </w:tr>
      <w:tr>
        <w:trPr>
          <w:trHeight w:val="149"/>
        </w:trPr>
        <w:tc>
          <w:tcPr>
            <w:tcW w:w="26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(10.87% cash (Libor + 8.40%; Floor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10.65%), 3.00% ETP, Due 1/1/23)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Horizon Technology Finance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905" w:right="239" w:bottom="1440" w:gutter="0" w:footer="0" w:header="0"/>
        </w:sect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r>
      <w:tr>
        <w:trPr>
          <w:trHeight w:val="176"/>
        </w:trPr>
        <w:tc>
          <w:tcPr>
            <w:tcW w:w="20" w:type="dxa"/>
            <w:vAlign w:val="bottom"/>
          </w:tcPr>
          <w:p>
            <w:pPr>
              <w:spacing w:after="0"/>
              <w:rPr>
                <w:sz w:val="15"/>
                <w:szCs w:val="15"/>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IgnitionOne, Inc. (2)(12)</w:t>
            </w:r>
          </w:p>
        </w:tc>
        <w:tc>
          <w:tcPr>
            <w:tcW w:w="100" w:type="dxa"/>
            <w:vAlign w:val="bottom"/>
          </w:tcPr>
          <w:p>
            <w:pPr>
              <w:spacing w:after="0"/>
              <w:rPr>
                <w:sz w:val="15"/>
                <w:szCs w:val="15"/>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Internet and Media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680" w:val="left"/>
        </w:tabs>
        <w:rPr>
          <w:sz w:val="20"/>
          <w:szCs w:val="20"/>
          <w:color w:val="auto"/>
        </w:rPr>
      </w:pPr>
      <w:r>
        <w:rPr>
          <w:rFonts w:ascii="Arial" w:cs="Arial" w:eastAsia="Arial" w:hAnsi="Arial"/>
          <w:sz w:val="14"/>
          <w:szCs w:val="14"/>
          <w:color w:val="auto"/>
        </w:rPr>
        <w:t>Jump Ramp Games, Inc. (2)(12)</w:t>
      </w:r>
      <w:r>
        <w:rPr>
          <w:sz w:val="20"/>
          <w:szCs w:val="20"/>
          <w:color w:val="auto"/>
        </w:rPr>
        <w:tab/>
      </w:r>
      <w:r>
        <w:rPr>
          <w:rFonts w:ascii="Arial" w:cs="Arial" w:eastAsia="Arial" w:hAnsi="Arial"/>
          <w:sz w:val="13"/>
          <w:szCs w:val="13"/>
          <w:color w:val="auto"/>
        </w:rPr>
        <w:t>Internet and Media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1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Investments (6)</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123"/>
        </w:trPr>
        <w:tc>
          <w:tcPr>
            <w:tcW w:w="100" w:type="dxa"/>
            <w:vAlign w:val="bottom"/>
          </w:tcPr>
          <w:p>
            <w:pPr>
              <w:spacing w:after="0"/>
              <w:rPr>
                <w:sz w:val="10"/>
                <w:szCs w:val="10"/>
                <w:color w:val="auto"/>
              </w:rPr>
            </w:pPr>
          </w:p>
        </w:tc>
        <w:tc>
          <w:tcPr>
            <w:tcW w:w="31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Term Loan (12.58% cash (Libor + 10.23%; Floor</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10.23%), 2.00% ETP, Due 4/1/22)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2,871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2,871</w:t>
            </w:r>
          </w:p>
        </w:tc>
      </w:tr>
      <w:tr>
        <w:trPr>
          <w:trHeight w:val="149"/>
        </w:trPr>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(12.58% cash (Libor + 10.23%; Floor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10.23%), 2.00% ETP, Due 4/1/22)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2,871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2,871</w:t>
            </w:r>
          </w:p>
        </w:tc>
      </w:tr>
      <w:tr>
        <w:trPr>
          <w:trHeight w:val="149"/>
        </w:trPr>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(12.58% cash (Libor + 10.23%; Floor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380" w:type="dxa"/>
            <w:vAlign w:val="bottom"/>
            <w:gridSpan w:val="3"/>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2,871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2,871</w:t>
            </w:r>
          </w:p>
        </w:tc>
      </w:tr>
      <w:tr>
        <w:trPr>
          <w:trHeight w:val="130"/>
        </w:trPr>
        <w:tc>
          <w:tcPr>
            <w:tcW w:w="3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 (12.58% cash (Libor + 10.23%; Floor</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10.23%), 2.00% ETP, Due 4/1/22)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-762635</wp:posOffset>
            </wp:positionV>
            <wp:extent cx="7246620" cy="763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Term Loan (12.08% cash (Libor + 9.73%), 3.00%</w:t>
      </w:r>
    </w:p>
    <w:p>
      <w:pPr>
        <w:spacing w:after="0" w:line="21" w:lineRule="exact"/>
        <w:rPr>
          <w:sz w:val="20"/>
          <w:szCs w:val="20"/>
          <w:color w:val="auto"/>
        </w:rPr>
      </w:pPr>
    </w:p>
    <w:p>
      <w:pPr>
        <w:sectPr>
          <w:pgSz w:w="11900" w:h="16838" w:orient="portrait"/>
          <w:cols w:equalWidth="0" w:num="2">
            <w:col w:w="4980" w:space="0"/>
            <w:col w:w="644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ETP, Due 4/1/21)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3,960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3,960</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(11.95% cash (Libor + 9.60%; Floor</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10.75%), 2.00% ETP, Due 5/1/21)</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2,700</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2,617</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2,617</w:t>
            </w: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Term Loan (11.95% cash (Libor + 9.60%; Floor</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10.75%), 2.00% ETP, Due 5/1/21)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2,661</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Rocket Lawyer Incorporated (2)(12)</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(11.75% cash (Libor + 9.40%;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10.50%), 3.00% ETP, Due 7/1/21)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3,952</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(11.75% cash (Libor + 9.40%;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10.50%), 3.00% ETP, Due 7/1/21)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3,952</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(11.75% cash (Libor + 9.40%;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10.50%), 3.00% ETP, Due 11/1/21)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1,973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1,973</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Verve Wireless, Inc. (2)(12)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(11.15% cash (Libor + 8.80%; Floor</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10.80%), 3.33% ETP, Due 9/1/21)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3,172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3,172</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Zinio Holdings, LLC (2)(12)</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(13.60% cash (Libor + 11.25%;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11.75%), 6.00% ETP, Due 2/1/20)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3,225</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3,213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3,213</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Materials</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(11.00% cash (Libor + 8.50%; Floor</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11.00%), 4.0% ETP, Due 6/1/22)</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4,250</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4,186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4,186</w:t>
            </w: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Term Loan (11.00% cash (Libor + 8.50%; Floor</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11.00%), 4.0% ETP, Due 6/1/22)</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4,186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4,186</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Powerhouse Dynamics, Inc. (2)(12)</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Power Management</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(13.05% cash (Libor + 10.70%;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11.20%), 3.32% ETP, Due 9/1/19)</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525</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512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512</w:t>
            </w:r>
          </w:p>
        </w:tc>
      </w:tr>
      <w:tr>
        <w:trPr>
          <w:trHeight w:val="197"/>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Luxtera, Inc. (12)</w:t>
            </w:r>
          </w:p>
        </w:tc>
        <w:tc>
          <w:tcPr>
            <w:tcW w:w="1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Semiconductors</w:t>
            </w: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Term Loan (12.00% cash (Prime + 6.75%), Due</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3/28/20)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1,945</w:t>
            </w:r>
          </w:p>
        </w:tc>
      </w:tr>
      <w:tr>
        <w:trPr>
          <w:trHeight w:val="197"/>
        </w:trPr>
        <w:tc>
          <w:tcPr>
            <w:tcW w:w="26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Term Loan (12.00% cash (Prime + 6.75%), Due</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3/28/20)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Bridge2 Solutions, LLC. (2)(12)</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(11.60% cash (Libor + 9.25%;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10.50%), 2.00% ETP, Due 11/1/21)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4,835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4,835</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(11.60% cash (Libor + 9.25%;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10.50%), 2.00% ETP, Due 11/1/21)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4,835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4,835</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(12.35% cash (Libor + 10.00%; Floor</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10.50%), 4.00% ETP, Due 8/1/19)</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New Signature US, Inc. (2)(12)(13)</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(10.85% cash (Libor + 8.50%;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10.50%), 3.50% ETP, Due 7/1/22)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2,750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2,699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2,699</w:t>
            </w: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SIGNiX, Inc. (12)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(13.35% cash (Libor + 11.00%; Floor</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11.50%), 8.67% ETP, Due 2/1/20)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1,845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1,555</w:t>
            </w:r>
          </w:p>
        </w:tc>
      </w:tr>
      <w:tr>
        <w:trPr>
          <w:trHeight w:val="130"/>
        </w:trPr>
        <w:tc>
          <w:tcPr>
            <w:tcW w:w="2600" w:type="dxa"/>
            <w:vAlign w:val="bottom"/>
          </w:tcPr>
          <w:p>
            <w:pPr>
              <w:spacing w:after="0" w:line="130" w:lineRule="exact"/>
              <w:rPr>
                <w:sz w:val="20"/>
                <w:szCs w:val="20"/>
                <w:color w:val="auto"/>
              </w:rPr>
            </w:pPr>
            <w:r>
              <w:rPr>
                <w:rFonts w:ascii="Arial" w:cs="Arial" w:eastAsia="Arial" w:hAnsi="Arial"/>
                <w:sz w:val="14"/>
                <w:szCs w:val="14"/>
                <w:color w:val="auto"/>
              </w:rPr>
              <w:t>xAd, Inc. (2)(12)</w:t>
            </w: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tcPr>
          <w:p>
            <w:pPr>
              <w:ind w:left="600"/>
              <w:spacing w:after="0" w:line="130" w:lineRule="exact"/>
              <w:rPr>
                <w:sz w:val="20"/>
                <w:szCs w:val="20"/>
                <w:color w:val="auto"/>
              </w:rPr>
            </w:pPr>
            <w:r>
              <w:rPr>
                <w:rFonts w:ascii="Arial" w:cs="Arial" w:eastAsia="Arial" w:hAnsi="Arial"/>
                <w:sz w:val="14"/>
                <w:szCs w:val="14"/>
                <w:color w:val="auto"/>
              </w:rPr>
              <w:t>Term Loan (11.05% cash (Libor + 8.70%; Floor</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10.00%), 4.75% ETP, Due 11/1/21)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4,923</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(11.05% cash (Libor + 8.70%;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10.00%), 4.75% ETP, Due 11/1/21)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4,923</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(11.05% cash (Libor + 8.70%;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10.00%), 4.75% ETP, Due 11/1/21)</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2,954</w:t>
            </w:r>
          </w:p>
        </w:tc>
      </w:tr>
      <w:tr>
        <w:trPr>
          <w:trHeight w:val="149"/>
        </w:trPr>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900" w:type="dxa"/>
            <w:vAlign w:val="bottom"/>
          </w:tcPr>
          <w:p>
            <w:pPr>
              <w:ind w:left="600"/>
              <w:spacing w:after="0" w:line="149" w:lineRule="exact"/>
              <w:rPr>
                <w:sz w:val="20"/>
                <w:szCs w:val="20"/>
                <w:color w:val="auto"/>
              </w:rPr>
            </w:pPr>
            <w:r>
              <w:rPr>
                <w:rFonts w:ascii="Arial" w:cs="Arial" w:eastAsia="Arial" w:hAnsi="Arial"/>
                <w:sz w:val="14"/>
                <w:szCs w:val="14"/>
                <w:color w:val="auto"/>
              </w:rPr>
              <w:t>Term Loan (11.05% cash (Libor + 8.70%; Floor</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Arial" w:cs="Arial" w:eastAsia="Arial" w:hAnsi="Arial"/>
                <w:sz w:val="14"/>
                <w:szCs w:val="14"/>
                <w:color w:val="auto"/>
              </w:rPr>
              <w:t>10.00%), 4.75% ETP, Due 11/1/21)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1,969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1,969</w:t>
            </w:r>
          </w:p>
        </w:tc>
      </w:tr>
      <w:tr>
        <w:trPr>
          <w:trHeight w:val="142"/>
        </w:trPr>
        <w:tc>
          <w:tcPr>
            <w:tcW w:w="44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39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119,720</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119,185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8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17.5% (8)</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Catasys, Inc. (2)(5)(12)</w:t>
            </w: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90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Term Loan (10.10% cash (Libor + 7.75%;</w:t>
            </w:r>
          </w:p>
        </w:tc>
        <w:tc>
          <w:tcPr>
            <w:tcW w:w="98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2,500</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2,478</w:t>
            </w:r>
          </w:p>
        </w:tc>
        <w:tc>
          <w:tcPr>
            <w:tcW w:w="9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2,478</w:t>
            </w: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Floor 9.75%), 6.00% ETP, Due 3/1/22)</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Term Loan (10.10% cash (Libor + 7.75%; Floor</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9.75%), 6.00% ETP, Due 3/1/22)</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4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Investments (6)</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(10.10% cash (Libor + 7.75%; Floor</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9.75%), 6.00% ETP, Due 3/1/22)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Term Loan (10.60% cash (Libor + 8.25%; Floor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HealthEdge Software, Inc. (2)(12)</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3.00% ETP, Due 7/1/22)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4,948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(10.60% cash (Libor + 8.25%; Floor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3.00% ETP, Due 1/1/23)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(10.60% cash (Libor + 8.25%; Floor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9.25%), 3.00% ETP, Due 4/1/23)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(10.69% cash (Libor + 8.25%; Floor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9.25%), 3.00% ETP, Due 1/1/24)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3,750</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3,696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Healthcare information and services</w:t>
            </w: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23,482</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 Affiliate Debt Investments</w:t>
            </w:r>
          </w:p>
        </w:tc>
        <w:tc>
          <w:tcPr>
            <w:tcW w:w="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210,228</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209,693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Non-Affiliate Warrant Investments — 6.9%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1.5%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ACT Biotech Corporation</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130,872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4,634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Celsion Corporation (2)(5)(12)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95,465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Espero BioPharma, Inc. (2)(5)(12)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1,506,937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w w:val="95"/>
              </w:rPr>
              <w:t>Rocket Pharmaceuticals Corporation (5)(12)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7,051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608,058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 (5)(12)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34,113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Sample6,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661,956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Strongbridge U.S. Inc. (2)(5)(12)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160,714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2,050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vTv Therapeutics Inc. (2)(5)(12)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95,293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Drug Delivery</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2,240,000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AccuVein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1,174,881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Aerin Medical,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1,818,182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Conventus Orthopaedics,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720,000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CSA Medical, Inc. (12)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745,562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Lantos Technologies,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1,715,926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MacuLogix,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234,742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Mitralign,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64,190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29,102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ReShape Lifesciences Inc. (5)(12)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121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Tryton Medical,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122,362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color w:val="auto"/>
              </w:rPr>
              <w:t>VERO Biotech LLC (2)(12)</w:t>
            </w:r>
          </w:p>
        </w:tc>
        <w:tc>
          <w:tcPr>
            <w:tcW w:w="2320" w:type="dxa"/>
            <w:vAlign w:val="bottom"/>
            <w:gridSpan w:val="2"/>
          </w:tcPr>
          <w:p>
            <w:pPr>
              <w:ind w:left="40"/>
              <w:spacing w:after="0"/>
              <w:rPr>
                <w:sz w:val="20"/>
                <w:szCs w:val="20"/>
                <w:color w:val="auto"/>
              </w:rPr>
            </w:pPr>
            <w:r>
              <w:rPr>
                <w:rFonts w:ascii="Arial" w:cs="Arial" w:eastAsia="Arial" w:hAnsi="Arial"/>
                <w:sz w:val="14"/>
                <w:szCs w:val="14"/>
                <w:color w:val="auto"/>
              </w:rPr>
              <w:t>Medical Device</w:t>
            </w: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800 Common Stock Warrants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7"/>
              </w:rPr>
              <w:t>Total Non-Affiliate Warrants — Life Science</w:t>
            </w:r>
          </w:p>
        </w:tc>
        <w:tc>
          <w:tcPr>
            <w:tcW w:w="4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2,002</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Warrants — Technology — 4.8%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Audacy Corporation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1,545,575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Intelepeer Holdings,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1,171,549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PebblePost,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598,850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Food52,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102,941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Gwynnie Bee,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268,591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Le Tote,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202,974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Mohawk Group Holdings,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300,000 Common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Rhapsody International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852,273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Kaminario,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Data Storage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9,981,346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IgnitionOne,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262,910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Jump Ramp Games,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159,766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Kixeye,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791,251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261,721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Verve Wireless,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112,805 Common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Materials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467,277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Powerhouse Dynamics,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Power Management</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348,838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202,602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Luxtera, Inc. (2)(12)</w:t>
            </w:r>
          </w:p>
        </w:tc>
        <w:tc>
          <w:tcPr>
            <w:tcW w:w="23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3,546,553 Preferred Stock Warrants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Soraa, Inc. (2)(12)</w:t>
            </w:r>
          </w:p>
        </w:tc>
        <w:tc>
          <w:tcPr>
            <w:tcW w:w="2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203,616 Preferred Stock Warrants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Bolt Solutions Inc. (2)(12)</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4"/>
              </w:rPr>
              <w:t>202,892</w:t>
            </w:r>
          </w:p>
        </w:tc>
        <w:tc>
          <w:tcPr>
            <w:tcW w:w="2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Preferred Stock Warrants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Bridge2 Solutions,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125,458</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BSI Platform Holdings, LLC (2)(12)(13)</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137,500</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 (12)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53,486 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238,121</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Lotame Solutions,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288,115 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Metricly, Inc.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41,569 Common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Riv Data Corp.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321,428</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ShopKeep.com,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193,962</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SIGNiX, Inc. (12)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133,560</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Skyword, Inc.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301,056</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Sys-Tech Solutions,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375,000</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Weblinc Corporation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195,122</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xAd, Inc. (2)(12)</w:t>
            </w:r>
          </w:p>
        </w:tc>
        <w:tc>
          <w:tcPr>
            <w:tcW w:w="2280" w:type="dxa"/>
            <w:vAlign w:val="bottom"/>
          </w:tcPr>
          <w:p>
            <w:pPr>
              <w:spacing w:after="0"/>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rPr>
                <w:sz w:val="20"/>
                <w:szCs w:val="20"/>
                <w:color w:val="auto"/>
              </w:rPr>
            </w:pPr>
            <w:r>
              <w:rPr>
                <w:rFonts w:ascii="Arial" w:cs="Arial" w:eastAsia="Arial" w:hAnsi="Arial"/>
                <w:sz w:val="14"/>
                <w:szCs w:val="14"/>
                <w:color w:val="auto"/>
              </w:rPr>
              <w:t>4,343,350 Preferred Stock Warrants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9"/>
              </w:rPr>
              <w:t>Total Non-Affiliate Warrants — Technology</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Sustainability — 0.1% (8)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Renmatix,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Energy</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53,022 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Tigo Energy, Inc. (2)(12)</w:t>
            </w:r>
          </w:p>
        </w:tc>
        <w:tc>
          <w:tcPr>
            <w:tcW w:w="2280" w:type="dxa"/>
            <w:vAlign w:val="bottom"/>
          </w:tcPr>
          <w:p>
            <w:pPr>
              <w:spacing w:after="0"/>
              <w:rPr>
                <w:sz w:val="20"/>
                <w:szCs w:val="20"/>
                <w:color w:val="auto"/>
              </w:rPr>
            </w:pPr>
            <w:r>
              <w:rPr>
                <w:rFonts w:ascii="Arial" w:cs="Arial" w:eastAsia="Arial" w:hAnsi="Arial"/>
                <w:sz w:val="14"/>
                <w:szCs w:val="14"/>
                <w:color w:val="auto"/>
              </w:rPr>
              <w:t>Energy Efficiency</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w w:val="94"/>
              </w:rPr>
              <w:t>804,604</w:t>
            </w:r>
          </w:p>
        </w:tc>
        <w:tc>
          <w:tcPr>
            <w:tcW w:w="2780" w:type="dxa"/>
            <w:vAlign w:val="bottom"/>
            <w:gridSpan w:val="2"/>
          </w:tcPr>
          <w:p>
            <w:pPr>
              <w:spacing w:after="0"/>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6"/>
              </w:rPr>
              <w:t>Total Non-Affiliate Warrants — Sustainability</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0.5% (8)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49,000 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ProterixBio,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2,676 Common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Singulex, Inc.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294,231</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Verity Solutions Group, Inc. (12)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300,360</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27,373 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HealthEdge Software,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205,481</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Medsphere Systems Corporation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7,097,792 Preferred Stock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Recondo Technology, Inc. (2)(12)</w:t>
            </w:r>
          </w:p>
        </w:tc>
        <w:tc>
          <w:tcPr>
            <w:tcW w:w="2280" w:type="dxa"/>
            <w:vAlign w:val="bottom"/>
          </w:tcPr>
          <w:p>
            <w:pPr>
              <w:spacing w:after="0"/>
              <w:rPr>
                <w:sz w:val="20"/>
                <w:szCs w:val="20"/>
                <w:color w:val="auto"/>
              </w:rPr>
            </w:pPr>
            <w:r>
              <w:rPr>
                <w:rFonts w:ascii="Arial" w:cs="Arial" w:eastAsia="Arial" w:hAnsi="Arial"/>
                <w:sz w:val="14"/>
                <w:szCs w:val="14"/>
                <w:color w:val="auto"/>
              </w:rPr>
              <w:t>Software</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w w:val="94"/>
              </w:rPr>
              <w:t>556,796</w:t>
            </w:r>
          </w:p>
        </w:tc>
        <w:tc>
          <w:tcPr>
            <w:tcW w:w="2780" w:type="dxa"/>
            <w:vAlign w:val="bottom"/>
            <w:gridSpan w:val="2"/>
          </w:tcPr>
          <w:p>
            <w:pPr>
              <w:spacing w:after="0"/>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6,986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Non-Affiliate Other Investments — 5.7% (8)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Espero Pharmaceuticals, Inc.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ZetrOZ, Inc. (12)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Medical Device</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Royalty Agreement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Vette Technology, LLC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Data Storage</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Royalty Agreement Due 4/18/2019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Triple Double Holdings, LLC (12)</w:t>
            </w:r>
          </w:p>
        </w:tc>
        <w:tc>
          <w:tcPr>
            <w:tcW w:w="2280" w:type="dxa"/>
            <w:vAlign w:val="bottom"/>
          </w:tcPr>
          <w:p>
            <w:pPr>
              <w:spacing w:after="0"/>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rPr>
                <w:sz w:val="20"/>
                <w:szCs w:val="20"/>
                <w:color w:val="auto"/>
              </w:rPr>
            </w:pPr>
            <w:r>
              <w:rPr>
                <w:rFonts w:ascii="Arial" w:cs="Arial" w:eastAsia="Arial" w:hAnsi="Arial"/>
                <w:sz w:val="14"/>
                <w:szCs w:val="14"/>
                <w:color w:val="auto"/>
              </w:rPr>
              <w:t>License Agreement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11,815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0.7% (8)</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Insmed Incorporated (5)</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33,208 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5,125 Common Stock</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13,082 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SnagAJob.com, Inc. (12)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Consumer-related Technologies</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82,974 Common Stock</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Verve Wireless, Inc. (2)(12)</w:t>
            </w: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100,598</w:t>
            </w: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Formetrix, Inc. (2)(12)</w:t>
            </w: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Materials</w:t>
            </w:r>
          </w:p>
        </w:tc>
        <w:tc>
          <w:tcPr>
            <w:tcW w:w="33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74,286 Common Stock</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TruSignal, Inc. (12)</w:t>
            </w:r>
          </w:p>
        </w:tc>
        <w:tc>
          <w:tcPr>
            <w:tcW w:w="2280" w:type="dxa"/>
            <w:vAlign w:val="bottom"/>
          </w:tcPr>
          <w:p>
            <w:pPr>
              <w:spacing w:after="0"/>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rPr>
                <w:sz w:val="20"/>
                <w:szCs w:val="20"/>
                <w:color w:val="auto"/>
              </w:rPr>
            </w:pPr>
            <w:r>
              <w:rPr>
                <w:rFonts w:ascii="Arial" w:cs="Arial" w:eastAsia="Arial" w:hAnsi="Arial"/>
                <w:sz w:val="14"/>
                <w:szCs w:val="14"/>
                <w:color w:val="auto"/>
              </w:rPr>
              <w:t>32,637 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gridSpan w:val="3"/>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229,772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227,624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Investments — 5.6% (8)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Debt Investments — Technology — 5.0% (8)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Decisyon, Inc. (12)</w:t>
            </w: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4"/>
          </w:tcPr>
          <w:p>
            <w:pPr>
              <w:ind w:left="100"/>
              <w:spacing w:after="0" w:line="130" w:lineRule="exact"/>
              <w:rPr>
                <w:sz w:val="20"/>
                <w:szCs w:val="20"/>
                <w:color w:val="auto"/>
              </w:rPr>
            </w:pPr>
            <w:r>
              <w:rPr>
                <w:rFonts w:ascii="Arial" w:cs="Arial" w:eastAsia="Arial" w:hAnsi="Arial"/>
                <w:sz w:val="14"/>
                <w:szCs w:val="14"/>
                <w:color w:val="auto"/>
              </w:rPr>
              <w:t>Term Loan (14.66% cash (Libor + 12.31%; Floor</w:t>
            </w: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1,523</w:t>
            </w:r>
          </w:p>
        </w:tc>
        <w:tc>
          <w:tcPr>
            <w:tcW w:w="18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1,522</w:t>
            </w:r>
          </w:p>
        </w:tc>
        <w:tc>
          <w:tcPr>
            <w:tcW w:w="26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12.50%), 8.00% ETP, Due 12/1/20)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Term Loan (14.66% cash (Libor + 12.31%; Floor</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833</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12.50%), 8.00% ETP, Due 12/1/20)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Term Loan (12.02% cash, Due 12/31/19)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Term Loan (12.03% cash, Due 12/31/19)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Term Loan (12.24% cash, Due 12/31/19)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Term Loan (13.08% cash, Due 12/31/19)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w:t>
            </w:r>
          </w:p>
        </w:tc>
        <w:tc>
          <w:tcPr>
            <w:tcW w:w="1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gridSpan w:val="4"/>
          </w:tcPr>
          <w:p>
            <w:pPr>
              <w:ind w:left="100"/>
              <w:spacing w:after="0"/>
              <w:rPr>
                <w:sz w:val="20"/>
                <w:szCs w:val="20"/>
                <w:color w:val="auto"/>
              </w:rPr>
            </w:pPr>
            <w:r>
              <w:rPr>
                <w:rFonts w:ascii="Arial" w:cs="Arial" w:eastAsia="Arial" w:hAnsi="Arial"/>
                <w:sz w:val="14"/>
                <w:szCs w:val="14"/>
                <w:color w:val="auto"/>
              </w:rPr>
              <w:t>Term Loan (13.10% cash, Due 12/31/19)</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(9.38% Cash (Libor + 7.03%; Floor</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StereoVision Imaging, Inc. (12)</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8.50%), 8.50% ETP, Due 9/1/21) (11)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Non-controlled Affiliate Debt Investments — Technology</w:t>
            </w: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6,865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Decisyon, Inc. (12)</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82,967 Common Stock Warrants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Non-controlled Affiliate Warrants — Technology</w:t>
            </w: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Equity — Technology — 0.6%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Decisyon, Inc. (12)</w:t>
            </w:r>
          </w:p>
        </w:tc>
        <w:tc>
          <w:tcPr>
            <w:tcW w:w="2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45,365,936 Common Stock</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StereoVision Imaging, Inc. (12)</w:t>
            </w: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3380" w:type="dxa"/>
            <w:vAlign w:val="bottom"/>
            <w:gridSpan w:val="3"/>
          </w:tcPr>
          <w:p>
            <w:pPr>
              <w:ind w:left="100"/>
              <w:spacing w:after="0"/>
              <w:rPr>
                <w:sz w:val="20"/>
                <w:szCs w:val="20"/>
                <w:color w:val="auto"/>
              </w:rPr>
            </w:pPr>
            <w:r>
              <w:rPr>
                <w:rFonts w:ascii="Arial" w:cs="Arial" w:eastAsia="Arial" w:hAnsi="Arial"/>
                <w:sz w:val="14"/>
                <w:szCs w:val="14"/>
                <w:color w:val="auto"/>
              </w:rPr>
              <w:t>1,943,572 Common 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7,887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gridSpan w:val="2"/>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Controlled Affiliate Investments — 9.9% (8)</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9.9% (8)</w:t>
            </w: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Horizon Secured Loan Fund I LLC (12)(14) Investment funds</w:t>
            </w: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13,262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100" w:type="dxa"/>
            <w:vAlign w:val="bottom"/>
            <w:tcBorders>
              <w:bottom w:val="single" w:sz="8" w:color="CCEEFF"/>
            </w:tcBorders>
            <w:shd w:val="clear" w:color="auto" w:fill="CCEEFF"/>
          </w:tcPr>
          <w:p>
            <w:pPr>
              <w:spacing w:after="0"/>
              <w:rPr>
                <w:sz w:val="13"/>
                <w:szCs w:val="13"/>
                <w:color w:val="auto"/>
              </w:rPr>
            </w:pPr>
          </w:p>
        </w:tc>
        <w:tc>
          <w:tcPr>
            <w:tcW w:w="3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13,262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13,243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Portfolio Investment Assets — 185.1% (8)</w:t>
            </w:r>
          </w:p>
        </w:tc>
        <w:tc>
          <w:tcPr>
            <w:tcW w:w="100" w:type="dxa"/>
            <w:vAlign w:val="bottom"/>
            <w:tcBorders>
              <w:bottom w:val="single" w:sz="8" w:color="CCEEFF"/>
            </w:tcBorders>
            <w:shd w:val="clear" w:color="auto" w:fill="CCEEFF"/>
          </w:tcPr>
          <w:p>
            <w:pPr>
              <w:spacing w:after="0"/>
              <w:rPr>
                <w:sz w:val="13"/>
                <w:szCs w:val="13"/>
                <w:color w:val="auto"/>
              </w:rPr>
            </w:pPr>
          </w:p>
        </w:tc>
        <w:tc>
          <w:tcPr>
            <w:tcW w:w="3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250,921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248,441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80" w:right="2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8"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the LIBOR are based on one-month LIBOR. For each debt investment, the current interest rate in effect as of December 31, 2018 is provided.</w:t>
      </w:r>
    </w:p>
    <w:p>
      <w:pPr>
        <w:spacing w:after="0" w:line="188"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2018, 5.0% of the Company’s total investments on a cost and fair value basis are in non-qualifying assets.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ind w:left="380" w:right="80" w:hanging="372"/>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investment has a PIK feature.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June 1, 2018, the Company entered into an agreement with Arena to co-invest through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Although the Company owns more than 25% of the voting securities of HSLFI, the Company does not believe it controls HSLFI for purposes of the 1940 Act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904" w:right="239" w:bottom="0" w:gutter="0" w:footer="0" w:header="0"/>
        </w:sectPr>
      </w:pPr>
    </w:p>
    <w:bookmarkStart w:id="105" w:name="page106"/>
    <w:bookmarkEnd w:id="105"/>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formed Horizon Funding 2019-1 LLC (“2019-1 LLC”) as a Delaware limited liability company on May 2, 2019 and Horizon Funding Trust 2019-1 on May 15, 2019 (“2019-1 Trust” and, together with the 2019-1 LLC, the “2019-1 Entities”). The 2019-1 Entities are special purpose bankruptcy remote entities and are separate legal entities from the Company. The Company formed the 2019-1 Entities for purposes of securitizing $160.0 million of secured loans and issuing the Asset-Backed Notes.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10-K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owns more than 25% of the voting securities of HSLFI, the Company does not have sole control over significant actions of HSLFI for purposes of the 1940 Act or otherwise, and thus does not consolidate its interest.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Assets related to transactions that do not meet Accounting Standards Codification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requirements for accounting sale treatment are reflected in the Company’s Consolidated Statements of Financial Condition as investments. Those assets are owned by special purpose entities, including 2019-1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Investments are recorded at fair value. The Company’s board of directors (the “Board”) determines the fair value of the Company’s portfolio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intent to hold its debt investments for the foreseeable future or until maturity or payoff.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December 31, 2019, there were two investments on non-accrual status with a cost of $5.7 million and a fair value of $2.0 million. As of December 31, 2018, there were no debt investments on non-accrual status. For the years ended December 31, 2019 and 2018, the Company did not recognize any interest income from debt investments on non-accrual status. For the year ended December 31, 2017, the Company recognized, as interest income, payments of $0.1 million received from one portfolio company whose debt investment was on non-accrual status.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years ended December 31, 2019, 2018 and 2017 was 5.3%, 6.5% and 6.0%, respectively.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year ended December 31, 2019, HSLFI distributed $0.7 million classified as dividend income to the Company. For the period June 1, 2018 (the commencement of HSLFI’s operations) through December 31, 2018, HSLFI distributed $0.3 million classified as dividend income to the Company.</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December 31, 2019 and 2018 was $3.3 million and $2.2 million, respectively. These amounts are amortized and included in interest expense in the consolidated statements of operations over the life of the borrowings. The accumulated amortization balances as of December 31, 2019 and 2018 were $3.1 million and $2.4 million, respectively. The amortization expense for the years ended December 31, 2019, 2018 and 2017 was $0.7 million, $0.6 million and $0.8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ASC Topic 946, </w:t>
      </w:r>
      <w:r>
        <w:rPr>
          <w:rFonts w:ascii="Arial" w:cs="Arial" w:eastAsia="Arial" w:hAnsi="Arial"/>
          <w:sz w:val="17"/>
          <w:szCs w:val="17"/>
          <w:i w:val="1"/>
          <w:iCs w:val="1"/>
          <w:color w:val="auto"/>
        </w:rPr>
        <w:t>Financial Services</w:t>
      </w:r>
      <w:r>
        <w:rPr>
          <w:rFonts w:ascii="Arial" w:cs="Arial" w:eastAsia="Arial" w:hAnsi="Arial"/>
          <w:sz w:val="17"/>
          <w:szCs w:val="17"/>
          <w:color w:val="auto"/>
        </w:rPr>
        <w:t>—</w:t>
      </w:r>
      <w:r>
        <w:rPr>
          <w:rFonts w:ascii="Arial" w:cs="Arial" w:eastAsia="Arial" w:hAnsi="Arial"/>
          <w:sz w:val="17"/>
          <w:szCs w:val="17"/>
          <w:i w:val="1"/>
          <w:iCs w:val="1"/>
          <w:color w:val="auto"/>
        </w:rPr>
        <w:t>Investment Companies</w:t>
      </w:r>
      <w:r>
        <w:rPr>
          <w:rFonts w:ascii="Arial" w:cs="Arial" w:eastAsia="Arial" w:hAnsi="Arial"/>
          <w:sz w:val="17"/>
          <w:szCs w:val="17"/>
          <w:color w:val="auto"/>
        </w:rPr>
        <w:t>, as amended, of the Financial Accounting Standards Board’s (“FASB’s”),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years ended December 31, 2019, 2018 and 2017, the Company reclassified $0.2 million, $0.03 million and $0.03 million, respectively, to paid-in capital from distributions in excess of net investment income, which related to excise taxes payable.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years ended December 31, 2019, 2018 and 2017, $0.2 million, $0.03 million and $0.03 million, respectively, was recorded for U.S. federal excise tax.</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December 31, 2019 and 2018. The Company’s income tax returns for the 2018, 2017 and 2016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2, 2019 the Company entered into an At-The-Market (“ATM”) sales agreement (the “Equity Distribution Agreement”), with Goldman Sachs</w:t>
      </w:r>
    </w:p>
    <w:p>
      <w:pPr>
        <w:spacing w:after="0" w:line="46" w:lineRule="exact"/>
        <w:rPr>
          <w:sz w:val="20"/>
          <w:szCs w:val="20"/>
          <w:color w:val="auto"/>
        </w:rPr>
      </w:pPr>
    </w:p>
    <w:p>
      <w:pPr>
        <w:jc w:val="both"/>
        <w:ind w:firstLine="8"/>
        <w:spacing w:after="0" w:line="271" w:lineRule="auto"/>
        <w:tabs>
          <w:tab w:leader="none" w:pos="1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 LLC and B. Riley FBR, Inc. (each a “Sales Agent” and, collectively, the “Sales Agents”). The Equity Distribution Agreement provides that Horizon may offer and sell its shares from time to time through the Sales Agents up to $50.0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year ended December 31, 2019, the Company sold 2,012,844 shares of common stock under the Equity Distribution Agreement. For the same period, the Company received total accumulated net proceeds of approximately $24.0 million, including $0.6 million of offering expenses, from these sales.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generally uses net proceeds from these offerings to make investments, to pay down liabilities and for general corporate purposes. As of December 31, 2019, shares representing approximately $25.4 million of its common stock remain available for issuance and sale under the Equity Distribution Agreement. See Note 12 – Subsequent Events.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April 26, 2019,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2020 or the repurchase of $5.0 million of the Company’s common stock. During the years ended December 31, 2019 and 2018, the Company did not repurchase any shares of its common stock. During the year ended December 31, 2017, the Company repurchased 5,923 shares of its common stock at an average price of $9.97 on the open market at a total cost of $0.1 million. From the inception of the stock repurchase program through December 31, 2019, the Company repurchased 167,465 shares of its common stock at an average price of $11.22 on the open market at a total cost of $1.9 million.</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2019, the FASB issued Accounting Standards Update 2019-07, Codification Updates to SEC Sections: Amendments to SEC Paragraphs Pursuant to SEC Final Rule Releases No. 33-10532, Disclosure Update and Simplification, and Nos. 33-10231 and 33-10442, Investment Company Reporting Modernization, and Miscellaneous Updates which amends the codification to reflect changes adopted by the SEC. The SEC adopted final rules that amend certain disclosure requirements that were redundant, duplicative, overlapping, outdated or superseded. The Company has adopted these amendments and the changes are reflected in its consolidated financial statements. Certain prior year information has been adjusted to conform to these amendments.</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a special meeting of the stockholders on October 30, 2018, the stockholders approved a new Investment Management Agreement which became effective on March 7, 2019. The new Investment Management Agreement replaced the previously effective Amended and Restated Investment Management Agreement dated as of October 28, 2010 and amended effective July 1, 2014.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base management fee payable at December 31, 2019 and 2018 was $0.5 million and $0.4 million, respectively. The base management fee expense was $5.6 million, $4.6 million and $3.8 million for the years ended December 31, 2019, 2018 and 2017,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has two parts,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center"/>
        <w:ind w:right="400"/>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81"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67"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69"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38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90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year ended December 31, 2019, the Advisor waived performance based incentive fees of $1.8 million which the Advisor would have otherwise been paid by the Company.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years ended December 31, 2018 and 2017, the Advisor waived performance based incentive fees of $1.2 million and $0.1 million, respectively, which the Advisor would have otherwise earned.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net performance based incentive fee expense was $5.1 million, $3.2 million and $1.6 million for the years ended December 31, 2019, 2018 and 2017, respectively. The incentive fee on Pre-Incentive Fee Net Investment Income was not subject to the Incentive Fee Cap and Deferral Mechanism for the year ended December 31, 2019. The incentive fee on Pre-Incentive Fee Net Investment Income was subject to the Incentive Fee Cap and Deferral Mechanism for the years ended December 31, 2018 and 2017, which resulted in $0.2 million and $1.1 million, respectively, of reduced expense and additional net investment income. The performance based incentive fee payable at December 31, 2019 and 2018 was $1.6 million and $1.0 million, respectively. The entire incentive fee payable at December 31, 2019 and 2018 represented part one of the incentive fee.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$0.9 million, $0.7 million and $0.7 million for the years ended December 31, 2019, 2018 and 2017, respectively.</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investments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6"/>
          </w:tcPr>
          <w:p>
            <w:pPr>
              <w:ind w:left="32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Investments</w:t>
            </w:r>
          </w:p>
        </w:tc>
        <w:tc>
          <w:tcPr>
            <w:tcW w:w="1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w:t>
            </w:r>
          </w:p>
        </w:tc>
        <w:tc>
          <w:tcPr>
            <w:tcW w:w="21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7,032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Equity</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1,719</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interest in HSLFI</w:t>
            </w: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investments</w:t>
            </w:r>
          </w:p>
        </w:tc>
        <w:tc>
          <w:tcPr>
            <w:tcW w:w="18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112</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4" w:name="page115"/>
    <w:bookmarkEnd w:id="11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34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4"/>
              </w:rPr>
              <w:t>Horizon Technology Finance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4200" w:type="dxa"/>
            <w:vAlign w:val="bottom"/>
            <w:gridSpan w:val="6"/>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220" w:type="dxa"/>
            <w:vAlign w:val="bottom"/>
            <w:gridSpan w:val="9"/>
          </w:tcPr>
          <w:p>
            <w:pPr>
              <w:spacing w:after="0"/>
              <w:rPr>
                <w:sz w:val="20"/>
                <w:szCs w:val="20"/>
                <w:color w:val="auto"/>
              </w:rPr>
            </w:pPr>
            <w:r>
              <w:rPr>
                <w:rFonts w:ascii="Arial" w:cs="Arial" w:eastAsia="Arial" w:hAnsi="Arial"/>
                <w:sz w:val="18"/>
                <w:szCs w:val="18"/>
                <w:color w:val="auto"/>
                <w:w w:val="94"/>
              </w:rPr>
              <w:t>The following table shows the Company’s investments by industry sector as of December 31, 2019 and 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2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2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2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42,265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25,770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25,426</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60,807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47,504</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47,869</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10,754</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22,061</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24,928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14,132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10,036</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38,132</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8,717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8,679</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9,013</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3,807</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4,636</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40,912</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Sustainability</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Energy</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Energy Efficiency</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Healthcare Information and Services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23,720</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23,977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880" w:type="dxa"/>
            <w:vAlign w:val="bottom"/>
          </w:tcPr>
          <w:p>
            <w:pPr>
              <w:ind w:left="160"/>
              <w:spacing w:after="0"/>
              <w:rPr>
                <w:sz w:val="20"/>
                <w:szCs w:val="20"/>
                <w:color w:val="auto"/>
              </w:rPr>
            </w:pPr>
            <w:r>
              <w:rPr>
                <w:rFonts w:ascii="Arial" w:cs="Arial" w:eastAsia="Arial" w:hAnsi="Arial"/>
                <w:sz w:val="18"/>
                <w:szCs w:val="18"/>
                <w:color w:val="auto"/>
              </w:rPr>
              <w:t>HSLFI</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13,262</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13,243</w:t>
            </w:r>
          </w:p>
        </w:tc>
      </w:tr>
      <w:tr>
        <w:trPr>
          <w:trHeight w:val="22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sustainability industries. HSLFI was formed as a Delaware limited liability company and is not consolidated by either the Company or Arena for financial reporting purposes. Investments held by HSLFI are measured at fair value using the same valuation methodology as described in Note 6. As of December 31, 2019 and 2018, HSLFI had total assets of $48.3 million and $26.4 million, respectively. HSLFI’s portfolio consisted of debt investments in eight and four portfolio companies as of December 31, 2019 and 2018, respectively. As of December 31, 2019, the largest investment in a single portfolio company in the HSLFI’s portfolio in aggregate principal amount was $11.3 million and the five largest investments in portfolio companies in the HSLFI totaled $30.3 million. As of December 31, 2018, the largest investment in a single portfolio company in the HSLFI’s portfolio in aggregate principal amount was $8.3 million and the only four investments in portfolio companies in the HSLFI totaled $25.0 million. As of December 31, 2019 and 2018, HSLFI had no investments on non-accrual status. HSLFI invests in portfolio companies in the same industries in which the Company may directly invest.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invests cash or securities in portfolio companies in HSLFI in exchange for limited liability company equity interests in HSLFI. As of December 31, 2019 and 2018, the Company and Arena each owned 50.0% of the equity interests of HSLFI. The Company had an original commitment to fund $25.0 million of equity interests in HSLFI. As of December 31, 2019 and 2018, $9.8 million and $11.7 million, respectively, was unfunded. The Company’s investment in HSLFI consisted of an equity contribution of $15.2 million and $13.3 million as of December 31, 2019 and 2018, respectively. During the year ended December 31, 2019, HSLFI distributed $1.4 million. For the period June 1, 2018 (the commencement of HSLFI’s operations) through December 31, 2018, HSLFI distributed $0.5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Agreement’s investment period has ended and the loan thereunder is in rapid amortization.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$15.0 million in advances made by the Noteholders as of December 31, 2019 at an interest rate of 4.98%. There were no advances made by the Noteholders as of December 31, 2018.</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202"/>
        </w:trPr>
        <w:tc>
          <w:tcPr>
            <w:tcW w:w="2400" w:type="dxa"/>
            <w:vAlign w:val="bottom"/>
            <w:tcBorders>
              <w:bottom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3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Sector</w:t>
            </w:r>
          </w:p>
        </w:tc>
        <w:tc>
          <w:tcPr>
            <w:tcW w:w="3820" w:type="dxa"/>
            <w:vAlign w:val="bottom"/>
            <w:tcBorders>
              <w:bottom w:val="single" w:sz="8" w:color="auto"/>
            </w:tcBorders>
          </w:tcPr>
          <w:p>
            <w:pPr>
              <w:ind w:left="120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bottom w:val="single" w:sz="8" w:color="auto"/>
            </w:tcBorders>
            <w:gridSpan w:val="3"/>
          </w:tcPr>
          <w:p>
            <w:pPr>
              <w:jc w:val="right"/>
              <w:ind w:right="280"/>
              <w:spacing w:after="0" w:line="202" w:lineRule="exact"/>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23"/>
                <w:szCs w:val="23"/>
                <w:b w:val="1"/>
                <w:bCs w:val="1"/>
                <w:color w:val="auto"/>
                <w:w w:val="91"/>
                <w:vertAlign w:val="superscript"/>
              </w:rPr>
              <w:t>(5)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20" w:type="dxa"/>
            <w:vAlign w:val="bottom"/>
          </w:tcPr>
          <w:p>
            <w:pPr>
              <w:ind w:left="12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138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Celsion Corporation (6)(7)(8)</w:t>
            </w:r>
          </w:p>
        </w:tc>
        <w:tc>
          <w:tcPr>
            <w:tcW w:w="1380" w:type="dxa"/>
            <w:vAlign w:val="bottom"/>
          </w:tcPr>
          <w:p>
            <w:pPr>
              <w:ind w:left="14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tcPr>
          <w:p>
            <w:pPr>
              <w:ind w:left="360"/>
              <w:spacing w:after="0" w:line="130" w:lineRule="exact"/>
              <w:rPr>
                <w:sz w:val="20"/>
                <w:szCs w:val="20"/>
                <w:color w:val="auto"/>
              </w:rPr>
            </w:pPr>
            <w:r>
              <w:rPr>
                <w:rFonts w:ascii="Arial" w:cs="Arial" w:eastAsia="Arial" w:hAnsi="Arial"/>
                <w:sz w:val="14"/>
                <w:szCs w:val="14"/>
                <w:color w:val="auto"/>
              </w:rPr>
              <w:t>Term Loan (9.63% cash (Libor + 7.63%; Floor 9.63%),</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ind w:left="360"/>
              <w:spacing w:after="0"/>
              <w:rPr>
                <w:sz w:val="20"/>
                <w:szCs w:val="20"/>
                <w:color w:val="auto"/>
              </w:rPr>
            </w:pPr>
            <w:r>
              <w:rPr>
                <w:rFonts w:ascii="Arial" w:cs="Arial" w:eastAsia="Arial" w:hAnsi="Arial"/>
                <w:sz w:val="14"/>
                <w:szCs w:val="14"/>
                <w:color w:val="auto"/>
              </w:rPr>
              <w:t>4.00% ETP, Due 7/1/22)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2,500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2,464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2,464</w:t>
            </w:r>
          </w:p>
        </w:tc>
      </w:tr>
      <w:tr>
        <w:trPr>
          <w:trHeight w:val="130"/>
        </w:trPr>
        <w:tc>
          <w:tcPr>
            <w:tcW w:w="24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8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Term Loan (9.63% cash (Libor + 7.63%; Floor 9.63%),</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4.00% ETP, Due 7/1/22)</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2,500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2,464</w:t>
            </w: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Encore Dermatology, Inc. (6)(7)</w:t>
            </w:r>
          </w:p>
        </w:tc>
        <w:tc>
          <w:tcPr>
            <w:tcW w:w="1380" w:type="dxa"/>
            <w:vAlign w:val="bottom"/>
          </w:tcPr>
          <w:p>
            <w:pPr>
              <w:ind w:left="14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tcPr>
          <w:p>
            <w:pPr>
              <w:ind w:left="360"/>
              <w:spacing w:after="0" w:line="130" w:lineRule="exact"/>
              <w:rPr>
                <w:sz w:val="20"/>
                <w:szCs w:val="20"/>
                <w:color w:val="auto"/>
              </w:rPr>
            </w:pPr>
            <w:r>
              <w:rPr>
                <w:rFonts w:ascii="Arial" w:cs="Arial" w:eastAsia="Arial" w:hAnsi="Arial"/>
                <w:sz w:val="14"/>
                <w:szCs w:val="14"/>
                <w:color w:val="auto"/>
              </w:rPr>
              <w:t>Term Loan (10.00% cash (Libor + 7.50%; Floor</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ind w:left="360"/>
              <w:spacing w:after="0"/>
              <w:rPr>
                <w:sz w:val="20"/>
                <w:szCs w:val="20"/>
                <w:color w:val="auto"/>
              </w:rPr>
            </w:pPr>
            <w:r>
              <w:rPr>
                <w:rFonts w:ascii="Arial" w:cs="Arial" w:eastAsia="Arial" w:hAnsi="Arial"/>
                <w:sz w:val="14"/>
                <w:szCs w:val="14"/>
                <w:color w:val="auto"/>
              </w:rPr>
              <w:t>10.00%), 3.00% ETP, Due 4/1/23)</w:t>
            </w:r>
          </w:p>
        </w:tc>
        <w:tc>
          <w:tcPr>
            <w:tcW w:w="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4,929</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4,929</w:t>
            </w: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Mustang Bio, Inc. (6)(7)(8)</w:t>
            </w:r>
          </w:p>
        </w:tc>
        <w:tc>
          <w:tcPr>
            <w:tcW w:w="13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Term Loan (9.00% cash (Libor + 6.50%; Floor9.00%),</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5.00% ETP, Due 10/1/22)</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4,924</w:t>
            </w:r>
          </w:p>
        </w:tc>
      </w:tr>
      <w:tr>
        <w:trPr>
          <w:trHeight w:val="142"/>
        </w:trPr>
        <w:tc>
          <w:tcPr>
            <w:tcW w:w="24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Total Debt Investments — Life science</w:t>
            </w:r>
          </w:p>
        </w:tc>
        <w:tc>
          <w:tcPr>
            <w:tcW w:w="138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14,781</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14,781</w:t>
            </w:r>
          </w:p>
        </w:tc>
        <w:tc>
          <w:tcPr>
            <w:tcW w:w="100" w:type="dxa"/>
            <w:vAlign w:val="bottom"/>
            <w:tcBorders>
              <w:bottom w:val="single" w:sz="8" w:color="CCEEFF"/>
            </w:tcBorders>
          </w:tcPr>
          <w:p>
            <w:pPr>
              <w:spacing w:after="0"/>
              <w:rPr>
                <w:sz w:val="12"/>
                <w:szCs w:val="12"/>
                <w:color w:val="auto"/>
              </w:rPr>
            </w:pPr>
          </w:p>
        </w:tc>
      </w:tr>
      <w:tr>
        <w:trPr>
          <w:trHeight w:val="142"/>
        </w:trPr>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138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Bridge2 Solutions, LLC (6)(7)</w:t>
            </w:r>
          </w:p>
        </w:tc>
        <w:tc>
          <w:tcPr>
            <w:tcW w:w="1380" w:type="dxa"/>
            <w:vAlign w:val="bottom"/>
          </w:tcPr>
          <w:p>
            <w:pPr>
              <w:ind w:left="140"/>
              <w:spacing w:after="0" w:line="130" w:lineRule="exact"/>
              <w:rPr>
                <w:sz w:val="20"/>
                <w:szCs w:val="20"/>
                <w:color w:val="auto"/>
              </w:rPr>
            </w:pPr>
            <w:r>
              <w:rPr>
                <w:rFonts w:ascii="Arial" w:cs="Arial" w:eastAsia="Arial" w:hAnsi="Arial"/>
                <w:sz w:val="14"/>
                <w:szCs w:val="14"/>
                <w:color w:val="auto"/>
              </w:rPr>
              <w:t>Software</w:t>
            </w:r>
          </w:p>
        </w:tc>
        <w:tc>
          <w:tcPr>
            <w:tcW w:w="3820" w:type="dxa"/>
            <w:vAlign w:val="bottom"/>
          </w:tcPr>
          <w:p>
            <w:pPr>
              <w:ind w:left="360"/>
              <w:spacing w:after="0" w:line="130" w:lineRule="exact"/>
              <w:rPr>
                <w:sz w:val="20"/>
                <w:szCs w:val="20"/>
                <w:color w:val="auto"/>
              </w:rPr>
            </w:pPr>
            <w:r>
              <w:rPr>
                <w:rFonts w:ascii="Arial" w:cs="Arial" w:eastAsia="Arial" w:hAnsi="Arial"/>
                <w:sz w:val="14"/>
                <w:szCs w:val="14"/>
                <w:color w:val="auto"/>
                <w:w w:val="99"/>
              </w:rPr>
              <w:t>Term Loan (11.00% cash (Libor + 8.4%; Floor 11.00%),</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ind w:left="360"/>
              <w:spacing w:after="0"/>
              <w:rPr>
                <w:sz w:val="20"/>
                <w:szCs w:val="20"/>
                <w:color w:val="auto"/>
              </w:rPr>
            </w:pPr>
            <w:r>
              <w:rPr>
                <w:rFonts w:ascii="Arial" w:cs="Arial" w:eastAsia="Arial" w:hAnsi="Arial"/>
                <w:sz w:val="14"/>
                <w:szCs w:val="14"/>
                <w:color w:val="auto"/>
              </w:rPr>
              <w:t>2.00% ETP, Due 9/1/23)</w:t>
            </w:r>
          </w:p>
        </w:tc>
        <w:tc>
          <w:tcPr>
            <w:tcW w:w="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481</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481</w:t>
            </w: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Signature US, Inc. (6)(7)(9)</w:t>
            </w:r>
          </w:p>
        </w:tc>
        <w:tc>
          <w:tcPr>
            <w:tcW w:w="13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Software</w:t>
            </w:r>
          </w:p>
        </w:tc>
        <w:tc>
          <w:tcPr>
            <w:tcW w:w="38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Term Loan (10.50% cash (Libor + 8.50%; Floor</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10.50%), 3.50% ETP, Due 7/1/22)</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8,250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8,163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8,163</w:t>
            </w:r>
          </w:p>
        </w:tc>
      </w:tr>
      <w:tr>
        <w:trPr>
          <w:trHeight w:val="130"/>
        </w:trPr>
        <w:tc>
          <w:tcPr>
            <w:tcW w:w="2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20" w:type="dxa"/>
            <w:vAlign w:val="bottom"/>
          </w:tcPr>
          <w:p>
            <w:pPr>
              <w:ind w:left="360"/>
              <w:spacing w:after="0" w:line="130" w:lineRule="exact"/>
              <w:rPr>
                <w:sz w:val="20"/>
                <w:szCs w:val="20"/>
                <w:color w:val="auto"/>
              </w:rPr>
            </w:pPr>
            <w:r>
              <w:rPr>
                <w:rFonts w:ascii="Arial" w:cs="Arial" w:eastAsia="Arial" w:hAnsi="Arial"/>
                <w:sz w:val="14"/>
                <w:szCs w:val="14"/>
                <w:color w:val="auto"/>
              </w:rPr>
              <w:t>Term Loan (10.60% cash (Libor + 8.50%; Floor</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ind w:left="360"/>
              <w:spacing w:after="0"/>
              <w:rPr>
                <w:sz w:val="20"/>
                <w:szCs w:val="20"/>
                <w:color w:val="auto"/>
              </w:rPr>
            </w:pPr>
            <w:r>
              <w:rPr>
                <w:rFonts w:ascii="Arial" w:cs="Arial" w:eastAsia="Arial" w:hAnsi="Arial"/>
                <w:sz w:val="14"/>
                <w:szCs w:val="14"/>
                <w:color w:val="auto"/>
              </w:rPr>
              <w:t>10.50%), 3.50% ETP, Due 2/1/23)</w:t>
            </w:r>
          </w:p>
        </w:tc>
        <w:tc>
          <w:tcPr>
            <w:tcW w:w="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3,000</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2,961</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2,961</w:t>
            </w: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OutboundEngine, Inc. (6)(7)</w:t>
            </w:r>
          </w:p>
        </w:tc>
        <w:tc>
          <w:tcPr>
            <w:tcW w:w="13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Software</w:t>
            </w:r>
          </w:p>
        </w:tc>
        <w:tc>
          <w:tcPr>
            <w:tcW w:w="38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w w:val="97"/>
              </w:rPr>
              <w:t>Term Loan (11.15% cash (Libor + 8.40%; Floor 11.15%),</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3.00% ETP, Due 7/1/23)</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w:t>
            </w: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Revinate, Inc. (6)(7)</w:t>
            </w:r>
          </w:p>
        </w:tc>
        <w:tc>
          <w:tcPr>
            <w:tcW w:w="1380" w:type="dxa"/>
            <w:vAlign w:val="bottom"/>
          </w:tcPr>
          <w:p>
            <w:pPr>
              <w:spacing w:after="0"/>
              <w:rPr>
                <w:sz w:val="11"/>
                <w:szCs w:val="11"/>
                <w:color w:val="auto"/>
              </w:rPr>
            </w:pPr>
          </w:p>
        </w:tc>
        <w:tc>
          <w:tcPr>
            <w:tcW w:w="3820" w:type="dxa"/>
            <w:vAlign w:val="bottom"/>
          </w:tcPr>
          <w:p>
            <w:pPr>
              <w:ind w:left="360"/>
              <w:spacing w:after="0" w:line="130" w:lineRule="exact"/>
              <w:rPr>
                <w:sz w:val="20"/>
                <w:szCs w:val="20"/>
                <w:color w:val="auto"/>
              </w:rPr>
            </w:pPr>
            <w:r>
              <w:rPr>
                <w:rFonts w:ascii="Arial" w:cs="Arial" w:eastAsia="Arial" w:hAnsi="Arial"/>
                <w:sz w:val="14"/>
                <w:szCs w:val="14"/>
                <w:color w:val="auto"/>
              </w:rPr>
              <w:t>Term Loan (9.50% cash (Libor + 7.00%, Floor 9.50%),</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ind w:left="360"/>
              <w:spacing w:after="0"/>
              <w:rPr>
                <w:sz w:val="20"/>
                <w:szCs w:val="20"/>
                <w:color w:val="auto"/>
              </w:rPr>
            </w:pPr>
            <w:r>
              <w:rPr>
                <w:rFonts w:ascii="Arial" w:cs="Arial" w:eastAsia="Arial" w:hAnsi="Arial"/>
                <w:sz w:val="14"/>
                <w:szCs w:val="14"/>
                <w:color w:val="auto"/>
              </w:rPr>
              <w:t>3.00% ETP, Due 6/1/23)</w:t>
            </w:r>
          </w:p>
        </w:tc>
        <w:tc>
          <w:tcPr>
            <w:tcW w:w="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3,952</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Total Debt Investments — Technology</w:t>
            </w:r>
          </w:p>
        </w:tc>
        <w:tc>
          <w:tcPr>
            <w:tcW w:w="1380" w:type="dxa"/>
            <w:vAlign w:val="bottom"/>
            <w:tcBorders>
              <w:top w:val="single" w:sz="8" w:color="CCEEFF"/>
            </w:tcBorders>
            <w:shd w:val="clear" w:color="auto" w:fill="CCEEFF"/>
          </w:tcPr>
          <w:p>
            <w:pPr>
              <w:spacing w:after="0"/>
              <w:rPr>
                <w:sz w:val="12"/>
                <w:szCs w:val="12"/>
                <w:color w:val="auto"/>
              </w:rPr>
            </w:pPr>
          </w:p>
        </w:tc>
        <w:tc>
          <w:tcPr>
            <w:tcW w:w="38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16,048</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16,048</w:t>
            </w:r>
          </w:p>
        </w:tc>
        <w:tc>
          <w:tcPr>
            <w:tcW w:w="100" w:type="dxa"/>
            <w:vAlign w:val="bottom"/>
            <w:tcBorders>
              <w:top w:val="single" w:sz="8" w:color="CCEEFF"/>
            </w:tcBorders>
            <w:shd w:val="clear" w:color="auto" w:fill="CCEEFF"/>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62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3560" w:type="dxa"/>
            <w:vAlign w:val="bottom"/>
          </w:tcPr>
          <w:p>
            <w:pPr>
              <w:ind w:left="88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4"/>
                <w:szCs w:val="14"/>
                <w:b w:val="1"/>
                <w:bCs w:val="1"/>
                <w:color w:val="auto"/>
                <w:w w:val="89"/>
              </w:rPr>
              <w:t>Investments</w:t>
            </w:r>
            <w:r>
              <w:rPr>
                <w:rFonts w:ascii="Arial" w:cs="Arial" w:eastAsia="Arial" w:hAnsi="Arial"/>
                <w:sz w:val="23"/>
                <w:szCs w:val="23"/>
                <w:b w:val="1"/>
                <w:bCs w:val="1"/>
                <w:color w:val="auto"/>
                <w:w w:val="89"/>
                <w:vertAlign w:val="superscript"/>
              </w:rPr>
              <w:t>(5)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Healthcare information and services</w:t>
            </w: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HealthEdge Software, Inc. (6)(7)</w:t>
            </w:r>
          </w:p>
        </w:tc>
        <w:tc>
          <w:tcPr>
            <w:tcW w:w="1620" w:type="dxa"/>
            <w:vAlign w:val="bottom"/>
          </w:tcPr>
          <w:p>
            <w:pPr>
              <w:ind w:left="6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tcPr>
          <w:p>
            <w:pPr>
              <w:ind w:left="40"/>
              <w:spacing w:after="0" w:line="130" w:lineRule="exact"/>
              <w:rPr>
                <w:sz w:val="20"/>
                <w:szCs w:val="20"/>
                <w:color w:val="auto"/>
              </w:rPr>
            </w:pPr>
            <w:r>
              <w:rPr>
                <w:rFonts w:ascii="Arial" w:cs="Arial" w:eastAsia="Arial" w:hAnsi="Arial"/>
                <w:sz w:val="14"/>
                <w:szCs w:val="14"/>
                <w:color w:val="auto"/>
              </w:rPr>
              <w:t>Term Loan (9.94% cash (Libor + 8.25%; Floor 9.25%),</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60" w:type="dxa"/>
            <w:vAlign w:val="bottom"/>
          </w:tcPr>
          <w:p>
            <w:pPr>
              <w:ind w:left="40"/>
              <w:spacing w:after="0"/>
              <w:rPr>
                <w:sz w:val="20"/>
                <w:szCs w:val="20"/>
                <w:color w:val="auto"/>
              </w:rPr>
            </w:pPr>
            <w:r>
              <w:rPr>
                <w:rFonts w:ascii="Arial" w:cs="Arial" w:eastAsia="Arial" w:hAnsi="Arial"/>
                <w:sz w:val="14"/>
                <w:szCs w:val="14"/>
                <w:color w:val="auto"/>
              </w:rPr>
              <w:t>3.00% ETP, Due 10/1/23)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3,750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3,709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3,709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Healthcare information and services</w:t>
            </w:r>
          </w:p>
        </w:tc>
        <w:tc>
          <w:tcPr>
            <w:tcW w:w="35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3,709</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34,538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34,538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b w:val="1"/>
                <w:bCs w:val="1"/>
                <w:color w:val="auto"/>
              </w:rPr>
              <w:t>Warrant Investments — Life science</w:t>
            </w:r>
          </w:p>
        </w:tc>
        <w:tc>
          <w:tcPr>
            <w:tcW w:w="1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(6)(7)(8)</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95,057 Common Stock Warrants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Encore Dermatology, Inc. (6)(7)</w:t>
            </w: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503,626 Preferred Stock Warrants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Mustang Bio, Inc. (6)(7)(8)</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72,046 Common Stock Warrants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CSA Medical, Inc. (6)(7)</w:t>
            </w: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17,751 Preferred Stock Warrants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3"/>
              </w:rPr>
              <w:t>Total Warrant Investments — Life science</w:t>
            </w:r>
          </w:p>
        </w:tc>
        <w:tc>
          <w:tcPr>
            <w:tcW w:w="1620" w:type="dxa"/>
            <w:vAlign w:val="bottom"/>
            <w:tcBorders>
              <w:top w:val="single" w:sz="8" w:color="CCEEFF"/>
            </w:tcBorders>
            <w:shd w:val="clear" w:color="auto" w:fill="CCEEFF"/>
          </w:tcPr>
          <w:p>
            <w:pPr>
              <w:spacing w:after="0"/>
              <w:rPr>
                <w:sz w:val="12"/>
                <w:szCs w:val="12"/>
                <w:color w:val="auto"/>
              </w:rPr>
            </w:pPr>
          </w:p>
        </w:tc>
        <w:tc>
          <w:tcPr>
            <w:tcW w:w="35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line="142" w:lineRule="exact"/>
              <w:rPr>
                <w:sz w:val="20"/>
                <w:szCs w:val="20"/>
                <w:color w:val="auto"/>
              </w:rPr>
            </w:pPr>
            <w:r>
              <w:rPr>
                <w:rFonts w:ascii="Arial" w:cs="Arial" w:eastAsia="Arial" w:hAnsi="Arial"/>
                <w:sz w:val="14"/>
                <w:szCs w:val="14"/>
                <w:b w:val="1"/>
                <w:bCs w:val="1"/>
                <w:color w:val="auto"/>
              </w:rPr>
              <w:t>Warrant Investments — Technology</w:t>
            </w:r>
          </w:p>
        </w:tc>
        <w:tc>
          <w:tcPr>
            <w:tcW w:w="1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(6)(7)</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Communications</w:t>
            </w:r>
          </w:p>
        </w:tc>
        <w:tc>
          <w:tcPr>
            <w:tcW w:w="3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2,081,934 Preferred Stock Warrants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Bridge2 Solutions, LLC (6)(7)</w:t>
            </w: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2,500 Common Stock Warrants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BSI Platform Holdings, LLC (6)(7)(9)</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562,500 Preferred Stock Warrants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OutboundEngine, Inc. (6)(7)</w:t>
            </w: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40,000 Preferred Stock Warrants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Revinate, Inc. (6)(7)</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216,362 Preferred Stock Warrants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4"/>
              </w:rPr>
              <w:t>Total Warrant Investments — Technology</w:t>
            </w:r>
          </w:p>
        </w:tc>
        <w:tc>
          <w:tcPr>
            <w:tcW w:w="1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Healthcare information and services</w:t>
            </w: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HealthEdge Software, Inc. (6)(7)</w:t>
            </w: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47,418 Preferred Stock Warrants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Total Warrant Investments — Healthcare information</w:t>
            </w:r>
          </w:p>
        </w:tc>
        <w:tc>
          <w:tcPr>
            <w:tcW w:w="35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services</w:t>
            </w:r>
          </w:p>
        </w:tc>
        <w:tc>
          <w:tcPr>
            <w:tcW w:w="162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b w:val="1"/>
                <w:bCs w:val="1"/>
                <w:color w:val="auto"/>
              </w:rPr>
              <w:t>Total Portfolio Investment Assets</w:t>
            </w:r>
          </w:p>
        </w:tc>
        <w:tc>
          <w:tcPr>
            <w:tcW w:w="16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34,895</w:t>
            </w: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34,829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35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Short Term Investments — Unrestricted Investments</w:t>
            </w:r>
          </w:p>
        </w:tc>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Bank Money Market Deposit Account (6)</w:t>
            </w: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11,201</w:t>
            </w:r>
          </w:p>
        </w:tc>
        <w:tc>
          <w:tcPr>
            <w:tcW w:w="2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Short Term Investments — Unrestricted Investments</w:t>
            </w:r>
          </w:p>
        </w:tc>
        <w:tc>
          <w:tcPr>
            <w:tcW w:w="35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11,201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11,201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Short Term Investments — Restricted Money Market Funds</w:t>
            </w:r>
          </w:p>
        </w:tc>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Bank Money Market Deposit Account (6)</w:t>
            </w:r>
          </w:p>
        </w:tc>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2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Total Short Term Investments — Restricted Money Market Funds</w:t>
            </w:r>
          </w:p>
        </w:tc>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80" w:hanging="372"/>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188"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HSLFI’s investments as of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500" w:type="dxa"/>
            <w:vAlign w:val="bottom"/>
          </w:tcPr>
          <w:p>
            <w:pPr>
              <w:ind w:left="620"/>
              <w:spacing w:after="0"/>
              <w:rPr>
                <w:sz w:val="20"/>
                <w:szCs w:val="20"/>
                <w:color w:val="auto"/>
              </w:rPr>
            </w:pPr>
            <w:r>
              <w:rPr>
                <w:rFonts w:ascii="Arial" w:cs="Arial" w:eastAsia="Arial" w:hAnsi="Arial"/>
                <w:sz w:val="14"/>
                <w:szCs w:val="14"/>
                <w:b w:val="1"/>
                <w:bCs w:val="1"/>
                <w:color w:val="auto"/>
              </w:rPr>
              <w:t>Sector</w:t>
            </w:r>
          </w:p>
        </w:tc>
        <w:tc>
          <w:tcPr>
            <w:tcW w:w="3640" w:type="dxa"/>
            <w:vAlign w:val="bottom"/>
          </w:tcPr>
          <w:p>
            <w:pPr>
              <w:ind w:left="1080"/>
              <w:spacing w:after="0" w:line="202"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340" w:type="dxa"/>
            <w:vAlign w:val="bottom"/>
          </w:tcPr>
          <w:p>
            <w:pPr>
              <w:spacing w:after="0"/>
              <w:rPr>
                <w:sz w:val="17"/>
                <w:szCs w:val="17"/>
                <w:color w:val="auto"/>
              </w:rPr>
            </w:pPr>
          </w:p>
        </w:tc>
        <w:tc>
          <w:tcPr>
            <w:tcW w:w="1020" w:type="dxa"/>
            <w:vAlign w:val="bottom"/>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4"/>
                <w:szCs w:val="14"/>
                <w:b w:val="1"/>
                <w:bCs w:val="1"/>
                <w:color w:val="auto"/>
                <w:w w:val="89"/>
              </w:rPr>
              <w:t>Investments</w:t>
            </w:r>
            <w:r>
              <w:rPr>
                <w:rFonts w:ascii="Arial" w:cs="Arial" w:eastAsia="Arial" w:hAnsi="Arial"/>
                <w:sz w:val="23"/>
                <w:szCs w:val="23"/>
                <w:b w:val="1"/>
                <w:bCs w:val="1"/>
                <w:color w:val="auto"/>
                <w:w w:val="89"/>
                <w:vertAlign w:val="superscript"/>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tcPr>
          <w:p>
            <w:pPr>
              <w:ind w:left="10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 Investments — Life science</w:t>
            </w:r>
          </w:p>
        </w:tc>
        <w:tc>
          <w:tcPr>
            <w:tcW w:w="15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Celsion Corporation (6)(7)(8)</w:t>
            </w:r>
          </w:p>
        </w:tc>
        <w:tc>
          <w:tcPr>
            <w:tcW w:w="1500" w:type="dxa"/>
            <w:vAlign w:val="bottom"/>
          </w:tcPr>
          <w:p>
            <w:pPr>
              <w:ind w:left="140"/>
              <w:spacing w:after="0" w:line="130" w:lineRule="exact"/>
              <w:rPr>
                <w:sz w:val="20"/>
                <w:szCs w:val="20"/>
                <w:color w:val="auto"/>
              </w:rPr>
            </w:pPr>
            <w:r>
              <w:rPr>
                <w:rFonts w:ascii="Arial" w:cs="Arial" w:eastAsia="Arial" w:hAnsi="Arial"/>
                <w:sz w:val="14"/>
                <w:szCs w:val="14"/>
                <w:color w:val="auto"/>
              </w:rPr>
              <w:t>Biotechnology</w:t>
            </w:r>
          </w:p>
        </w:tc>
        <w:tc>
          <w:tcPr>
            <w:tcW w:w="3640" w:type="dxa"/>
            <w:vAlign w:val="bottom"/>
          </w:tcPr>
          <w:p>
            <w:pPr>
              <w:ind w:left="240"/>
              <w:spacing w:after="0" w:line="130" w:lineRule="exact"/>
              <w:rPr>
                <w:sz w:val="20"/>
                <w:szCs w:val="20"/>
                <w:color w:val="auto"/>
              </w:rPr>
            </w:pPr>
            <w:r>
              <w:rPr>
                <w:rFonts w:ascii="Arial" w:cs="Arial" w:eastAsia="Arial" w:hAnsi="Arial"/>
                <w:sz w:val="14"/>
                <w:szCs w:val="14"/>
                <w:color w:val="auto"/>
              </w:rPr>
              <w:t>Term Loan (9.98% cash (Libor + 7.63%; Floor 9.63%),</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ind w:left="240"/>
              <w:spacing w:after="0"/>
              <w:rPr>
                <w:sz w:val="20"/>
                <w:szCs w:val="20"/>
                <w:color w:val="auto"/>
              </w:rPr>
            </w:pPr>
            <w:r>
              <w:rPr>
                <w:rFonts w:ascii="Arial" w:cs="Arial" w:eastAsia="Arial" w:hAnsi="Arial"/>
                <w:sz w:val="14"/>
                <w:szCs w:val="14"/>
                <w:color w:val="auto"/>
              </w:rPr>
              <w:t>4.00% ETP, Due 7/1/22)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2,449</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6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Term Loan (9.98% cash (Libor + 7.63%; Floor 9.63%),</w:t>
            </w: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4.00% ETP, Due 7/1/22)</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8"/>
              </w:rPr>
              <w:t>Total Debt Investments — Life science</w:t>
            </w:r>
          </w:p>
        </w:tc>
        <w:tc>
          <w:tcPr>
            <w:tcW w:w="150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w:t>
            </w:r>
          </w:p>
        </w:tc>
        <w:tc>
          <w:tcPr>
            <w:tcW w:w="15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Intelepeer Holdings, Inc. (6)(7)</w:t>
            </w:r>
          </w:p>
        </w:tc>
        <w:tc>
          <w:tcPr>
            <w:tcW w:w="1500" w:type="dxa"/>
            <w:vAlign w:val="bottom"/>
          </w:tcPr>
          <w:p>
            <w:pPr>
              <w:ind w:left="140"/>
              <w:spacing w:after="0" w:line="130" w:lineRule="exact"/>
              <w:rPr>
                <w:sz w:val="20"/>
                <w:szCs w:val="20"/>
                <w:color w:val="auto"/>
              </w:rPr>
            </w:pPr>
            <w:r>
              <w:rPr>
                <w:rFonts w:ascii="Arial" w:cs="Arial" w:eastAsia="Arial" w:hAnsi="Arial"/>
                <w:sz w:val="14"/>
                <w:szCs w:val="14"/>
                <w:color w:val="auto"/>
              </w:rPr>
              <w:t>Communications</w:t>
            </w:r>
          </w:p>
        </w:tc>
        <w:tc>
          <w:tcPr>
            <w:tcW w:w="3640" w:type="dxa"/>
            <w:vAlign w:val="bottom"/>
          </w:tcPr>
          <w:p>
            <w:pPr>
              <w:ind w:left="240"/>
              <w:spacing w:after="0" w:line="130" w:lineRule="exact"/>
              <w:rPr>
                <w:sz w:val="20"/>
                <w:szCs w:val="20"/>
                <w:color w:val="auto"/>
              </w:rPr>
            </w:pPr>
            <w:r>
              <w:rPr>
                <w:rFonts w:ascii="Arial" w:cs="Arial" w:eastAsia="Arial" w:hAnsi="Arial"/>
                <w:sz w:val="14"/>
                <w:szCs w:val="14"/>
                <w:color w:val="auto"/>
              </w:rPr>
              <w:t>Term Loan (12.30% cash (Libor + 9.95%; Floor</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ind w:left="240"/>
              <w:spacing w:after="0"/>
              <w:rPr>
                <w:sz w:val="20"/>
                <w:szCs w:val="20"/>
                <w:color w:val="auto"/>
              </w:rPr>
            </w:pPr>
            <w:r>
              <w:rPr>
                <w:rFonts w:ascii="Arial" w:cs="Arial" w:eastAsia="Arial" w:hAnsi="Arial"/>
                <w:sz w:val="14"/>
                <w:szCs w:val="14"/>
                <w:color w:val="auto"/>
              </w:rPr>
              <w:t>11.25%), 2.50% ETP, Due 7/1/21)</w:t>
            </w:r>
          </w:p>
        </w:tc>
        <w:tc>
          <w:tcPr>
            <w:tcW w:w="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6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Term Loan (12.30% cash (Libor + 9.95%; Floor</w:t>
            </w: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11.25%), 2.50% ETP, Due 7/1/21)</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New Signature US, Inc. (6)(7)(9)</w:t>
            </w:r>
          </w:p>
        </w:tc>
        <w:tc>
          <w:tcPr>
            <w:tcW w:w="1500" w:type="dxa"/>
            <w:vAlign w:val="bottom"/>
          </w:tcPr>
          <w:p>
            <w:pPr>
              <w:ind w:left="140"/>
              <w:spacing w:after="0" w:line="130" w:lineRule="exact"/>
              <w:rPr>
                <w:sz w:val="20"/>
                <w:szCs w:val="20"/>
                <w:color w:val="auto"/>
              </w:rPr>
            </w:pPr>
            <w:r>
              <w:rPr>
                <w:rFonts w:ascii="Arial" w:cs="Arial" w:eastAsia="Arial" w:hAnsi="Arial"/>
                <w:sz w:val="14"/>
                <w:szCs w:val="14"/>
                <w:color w:val="auto"/>
              </w:rPr>
              <w:t>Software</w:t>
            </w:r>
          </w:p>
        </w:tc>
        <w:tc>
          <w:tcPr>
            <w:tcW w:w="3640" w:type="dxa"/>
            <w:vAlign w:val="bottom"/>
          </w:tcPr>
          <w:p>
            <w:pPr>
              <w:ind w:left="240"/>
              <w:spacing w:after="0" w:line="130" w:lineRule="exact"/>
              <w:rPr>
                <w:sz w:val="20"/>
                <w:szCs w:val="20"/>
                <w:color w:val="auto"/>
              </w:rPr>
            </w:pPr>
            <w:r>
              <w:rPr>
                <w:rFonts w:ascii="Arial" w:cs="Arial" w:eastAsia="Arial" w:hAnsi="Arial"/>
                <w:sz w:val="14"/>
                <w:szCs w:val="14"/>
                <w:color w:val="auto"/>
              </w:rPr>
              <w:t>Term Loan (10.85% cash (Libor + 8.50%; Floor</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ind w:left="240"/>
              <w:spacing w:after="0"/>
              <w:rPr>
                <w:sz w:val="20"/>
                <w:szCs w:val="20"/>
                <w:color w:val="auto"/>
              </w:rPr>
            </w:pPr>
            <w:r>
              <w:rPr>
                <w:rFonts w:ascii="Arial" w:cs="Arial" w:eastAsia="Arial" w:hAnsi="Arial"/>
                <w:sz w:val="14"/>
                <w:szCs w:val="14"/>
                <w:color w:val="auto"/>
              </w:rPr>
              <w:t>10.50%), 3.50% ETP, Due 7/1/22)</w:t>
            </w:r>
          </w:p>
        </w:tc>
        <w:tc>
          <w:tcPr>
            <w:tcW w:w="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8,250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8,098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Total Debt Investments — Technology</w:t>
            </w:r>
          </w:p>
        </w:tc>
        <w:tc>
          <w:tcPr>
            <w:tcW w:w="150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w:t>
            </w: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(6)(7)</w:t>
            </w:r>
          </w:p>
        </w:tc>
        <w:tc>
          <w:tcPr>
            <w:tcW w:w="15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Software</w:t>
            </w:r>
          </w:p>
        </w:tc>
        <w:tc>
          <w:tcPr>
            <w:tcW w:w="36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Term Loan (10.60% cash (Libor + 8.25%; Floor 9.25%),</w:t>
            </w: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3.00% ETP, Due 10/1/23)</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w w:val="99"/>
              </w:rPr>
              <w:t>Total Debt Investments — Healthcare information and services</w:t>
            </w:r>
          </w:p>
        </w:tc>
        <w:tc>
          <w:tcPr>
            <w:tcW w:w="36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5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Warrant Investments — Life science</w:t>
            </w:r>
          </w:p>
        </w:tc>
        <w:tc>
          <w:tcPr>
            <w:tcW w:w="15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Celsion Corporation (6)(7)(8)</w:t>
            </w: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Biotechnology</w:t>
            </w:r>
          </w:p>
        </w:tc>
        <w:tc>
          <w:tcPr>
            <w:tcW w:w="3640" w:type="dxa"/>
            <w:vAlign w:val="bottom"/>
          </w:tcPr>
          <w:p>
            <w:pPr>
              <w:ind w:left="240"/>
              <w:spacing w:after="0" w:line="149" w:lineRule="exact"/>
              <w:rPr>
                <w:sz w:val="20"/>
                <w:szCs w:val="20"/>
                <w:color w:val="auto"/>
              </w:rPr>
            </w:pPr>
            <w:r>
              <w:rPr>
                <w:rFonts w:ascii="Arial" w:cs="Arial" w:eastAsia="Arial" w:hAnsi="Arial"/>
                <w:sz w:val="14"/>
                <w:szCs w:val="14"/>
                <w:color w:val="auto"/>
              </w:rPr>
              <w:t>95,057 Common Stock Warrants</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Warrant Investments — Life</w:t>
            </w:r>
          </w:p>
        </w:tc>
        <w:tc>
          <w:tcPr>
            <w:tcW w:w="1500" w:type="dxa"/>
            <w:vAlign w:val="bottom"/>
            <w:tcBorders>
              <w:top w:val="single" w:sz="8" w:color="CCEEFF"/>
            </w:tcBorders>
            <w:shd w:val="clear" w:color="auto" w:fill="CCEEFF"/>
          </w:tcPr>
          <w:p>
            <w:pPr>
              <w:spacing w:after="0"/>
              <w:rPr>
                <w:sz w:val="9"/>
                <w:szCs w:val="9"/>
                <w:color w:val="auto"/>
              </w:rPr>
            </w:pPr>
          </w:p>
        </w:tc>
        <w:tc>
          <w:tcPr>
            <w:tcW w:w="36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science</w:t>
            </w:r>
          </w:p>
        </w:tc>
        <w:tc>
          <w:tcPr>
            <w:tcW w:w="150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line="142" w:lineRule="exact"/>
              <w:rPr>
                <w:sz w:val="20"/>
                <w:szCs w:val="20"/>
                <w:color w:val="auto"/>
              </w:rPr>
            </w:pPr>
            <w:r>
              <w:rPr>
                <w:rFonts w:ascii="Arial" w:cs="Arial" w:eastAsia="Arial" w:hAnsi="Arial"/>
                <w:sz w:val="14"/>
                <w:szCs w:val="14"/>
                <w:b w:val="1"/>
                <w:bCs w:val="1"/>
                <w:color w:val="auto"/>
                <w:w w:val="98"/>
              </w:rPr>
              <w:t>Warrant Investments — Technology</w:t>
            </w:r>
          </w:p>
        </w:tc>
        <w:tc>
          <w:tcPr>
            <w:tcW w:w="1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(6)(7)</w:t>
            </w:r>
          </w:p>
        </w:tc>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Communications</w:t>
            </w:r>
          </w:p>
        </w:tc>
        <w:tc>
          <w:tcPr>
            <w:tcW w:w="3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1,280,000 Preferred Stock Warrants</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BSI Platform Holdings, LLC (6)(7)(9)</w:t>
            </w: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Software</w:t>
            </w:r>
          </w:p>
        </w:tc>
        <w:tc>
          <w:tcPr>
            <w:tcW w:w="3640" w:type="dxa"/>
            <w:vAlign w:val="bottom"/>
          </w:tcPr>
          <w:p>
            <w:pPr>
              <w:ind w:left="240"/>
              <w:spacing w:after="0" w:line="149" w:lineRule="exact"/>
              <w:rPr>
                <w:sz w:val="20"/>
                <w:szCs w:val="20"/>
                <w:color w:val="auto"/>
              </w:rPr>
            </w:pPr>
            <w:r>
              <w:rPr>
                <w:rFonts w:ascii="Arial" w:cs="Arial" w:eastAsia="Arial" w:hAnsi="Arial"/>
                <w:sz w:val="14"/>
                <w:szCs w:val="14"/>
                <w:color w:val="auto"/>
              </w:rPr>
              <w:t>412,500 Preferred Stock Warrants</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Warrant Investments —</w:t>
            </w:r>
          </w:p>
        </w:tc>
        <w:tc>
          <w:tcPr>
            <w:tcW w:w="1500" w:type="dxa"/>
            <w:vAlign w:val="bottom"/>
            <w:tcBorders>
              <w:top w:val="single" w:sz="8" w:color="CCEEFF"/>
            </w:tcBorders>
            <w:shd w:val="clear" w:color="auto" w:fill="CCEEFF"/>
          </w:tcPr>
          <w:p>
            <w:pPr>
              <w:spacing w:after="0"/>
              <w:rPr>
                <w:sz w:val="9"/>
                <w:szCs w:val="9"/>
                <w:color w:val="auto"/>
              </w:rPr>
            </w:pPr>
          </w:p>
        </w:tc>
        <w:tc>
          <w:tcPr>
            <w:tcW w:w="36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Technology</w:t>
            </w:r>
          </w:p>
        </w:tc>
        <w:tc>
          <w:tcPr>
            <w:tcW w:w="150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80" w:type="dxa"/>
            <w:vAlign w:val="bottom"/>
          </w:tcPr>
          <w:p>
            <w:pPr>
              <w:spacing w:after="0" w:line="106" w:lineRule="exact"/>
              <w:rPr>
                <w:sz w:val="20"/>
                <w:szCs w:val="20"/>
                <w:color w:val="auto"/>
              </w:rPr>
            </w:pPr>
            <w:r>
              <w:rPr>
                <w:rFonts w:ascii="Arial" w:cs="Arial" w:eastAsia="Arial" w:hAnsi="Arial"/>
                <w:sz w:val="12"/>
                <w:szCs w:val="12"/>
                <w:b w:val="1"/>
                <w:bCs w:val="1"/>
                <w:color w:val="auto"/>
              </w:rPr>
              <w:t>Warrant Investments — Healthcare</w:t>
            </w:r>
          </w:p>
        </w:tc>
        <w:tc>
          <w:tcPr>
            <w:tcW w:w="15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information and services</w:t>
            </w:r>
          </w:p>
        </w:tc>
        <w:tc>
          <w:tcPr>
            <w:tcW w:w="1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(6)(7)</w:t>
            </w:r>
          </w:p>
        </w:tc>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Software</w:t>
            </w:r>
          </w:p>
        </w:tc>
        <w:tc>
          <w:tcPr>
            <w:tcW w:w="3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47,418 Preferred Stock Warrants</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Pr>
          <w:p>
            <w:pPr>
              <w:spacing w:after="0" w:line="110" w:lineRule="exact"/>
              <w:rPr>
                <w:sz w:val="20"/>
                <w:szCs w:val="20"/>
                <w:color w:val="auto"/>
              </w:rPr>
            </w:pPr>
            <w:r>
              <w:rPr>
                <w:rFonts w:ascii="Arial" w:cs="Arial" w:eastAsia="Arial" w:hAnsi="Arial"/>
                <w:sz w:val="12"/>
                <w:szCs w:val="12"/>
                <w:color w:val="auto"/>
              </w:rPr>
              <w:t>Total Warrant Investments —</w:t>
            </w:r>
          </w:p>
        </w:tc>
        <w:tc>
          <w:tcPr>
            <w:tcW w:w="15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160"/>
              <w:spacing w:after="0"/>
              <w:rPr>
                <w:sz w:val="20"/>
                <w:szCs w:val="20"/>
                <w:color w:val="auto"/>
              </w:rPr>
            </w:pPr>
            <w:r>
              <w:rPr>
                <w:rFonts w:ascii="Arial" w:cs="Arial" w:eastAsia="Arial" w:hAnsi="Arial"/>
                <w:sz w:val="14"/>
                <w:szCs w:val="14"/>
                <w:color w:val="auto"/>
                <w:w w:val="98"/>
              </w:rPr>
              <w:t>Healthcare information and services</w:t>
            </w:r>
          </w:p>
        </w:tc>
        <w:tc>
          <w:tcPr>
            <w:tcW w:w="1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 Investments</w:t>
            </w:r>
          </w:p>
        </w:tc>
        <w:tc>
          <w:tcPr>
            <w:tcW w:w="150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Portfolio Investment Assets</w:t>
            </w:r>
          </w:p>
        </w:tc>
        <w:tc>
          <w:tcPr>
            <w:tcW w:w="15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24,771</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gridSpan w:val="2"/>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Short Term Investments — Unrestricted Investments</w:t>
            </w:r>
          </w:p>
        </w:tc>
        <w:tc>
          <w:tcPr>
            <w:tcW w:w="3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US Bank Money Market Deposit Account (6)</w:t>
            </w: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Total Short Term Investments — Unrestricted Investments</w:t>
            </w:r>
          </w:p>
        </w:tc>
        <w:tc>
          <w:tcPr>
            <w:tcW w:w="36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80" w:hanging="372"/>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88"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December 31, 2019 and 2018, for the year ended December 31, 2019 and for the period June 1, 2018 through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Total investments at fair value (cost of $34,895 and $24,771, respectively)</w:t>
            </w:r>
          </w:p>
        </w:tc>
        <w:tc>
          <w:tcPr>
            <w:tcW w:w="3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34,829</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 in money market funds</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receivable</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9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Borrowings</w:t>
            </w:r>
          </w:p>
        </w:tc>
        <w:tc>
          <w:tcPr>
            <w:tcW w:w="3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14,955</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Members’ equity</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33,176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980" w:type="dxa"/>
            <w:vAlign w:val="bottom"/>
            <w:vMerge w:val="restart"/>
          </w:tcPr>
          <w:p>
            <w:pPr>
              <w:jc w:val="right"/>
              <w:ind w:right="2530"/>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76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776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period</w:t>
            </w:r>
          </w:p>
        </w:tc>
      </w:tr>
      <w:tr>
        <w:trPr>
          <w:trHeight w:val="216"/>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For the year</w:t>
            </w: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r>
      <w:tr>
        <w:trPr>
          <w:trHeight w:val="216"/>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ended</w:t>
            </w: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0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Interest income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5,291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1,227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Transactions with affiliated companies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year ended December 31, 2019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Fair value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6"/>
              </w:rPr>
              <w:t>Year ended December 31, 2019</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Portfolio</w:t>
            </w: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0"/>
                <w:szCs w:val="10"/>
                <w:color w:val="auto"/>
              </w:rPr>
            </w:pPr>
          </w:p>
        </w:tc>
        <w:tc>
          <w:tcPr>
            <w:tcW w:w="72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in/(out) 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72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gain/(loss)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StereoVision, Inc.</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affiliates</w:t>
            </w:r>
          </w:p>
        </w:tc>
        <w:tc>
          <w:tcPr>
            <w:tcW w:w="2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related to investments in non-controlled affiliated companies for the year ended December 31,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Portfolio</w:t>
            </w: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0"/>
                <w:szCs w:val="10"/>
                <w:color w:val="auto"/>
              </w:rPr>
            </w:pPr>
          </w:p>
        </w:tc>
        <w:tc>
          <w:tcPr>
            <w:tcW w:w="72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in/(out) 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3"/>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80" w:type="dxa"/>
            <w:vAlign w:val="bottom"/>
          </w:tcPr>
          <w:p>
            <w:pPr>
              <w:spacing w:after="0"/>
              <w:rPr>
                <w:sz w:val="14"/>
                <w:szCs w:val="14"/>
                <w:color w:val="auto"/>
              </w:rPr>
            </w:pPr>
          </w:p>
        </w:tc>
        <w:tc>
          <w:tcPr>
            <w:tcW w:w="84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1"/>
              </w:rPr>
              <w:t>gain/(loss)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StereoVision, Inc.</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non-controlled affiliates</w:t>
            </w: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year ended December 31, 2019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4"/>
              </w:rPr>
              <w:t>Year ended December 31, 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 at</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Net 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in/(out) at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declared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8"/>
              </w:rPr>
              <w:t>gain/(loss)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HSLFI</w:t>
            </w:r>
            <w:r>
              <w:rPr>
                <w:rFonts w:ascii="Arial" w:cs="Arial" w:eastAsia="Arial" w:hAnsi="Arial"/>
                <w:sz w:val="29"/>
                <w:szCs w:val="29"/>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1,900</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Arial" w:cs="Arial" w:eastAsia="Arial" w:hAnsi="Arial"/>
                <w:sz w:val="14"/>
                <w:szCs w:val="14"/>
                <w:color w:val="auto"/>
              </w:rPr>
              <w:t>Total controlled affiliates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13,243</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color w:val="auto"/>
                <w:w w:val="85"/>
              </w:rPr>
              <w:t>1,900</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(715</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80" w:hanging="372"/>
        <w:spacing w:after="0" w:line="276"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not have sole control over significant actions of HSLFI for purposes of the 1940 Act or otherwise.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related to investments in controlled affiliated companies for the year ended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Portfolio</w:t>
            </w:r>
          </w:p>
        </w:tc>
        <w:tc>
          <w:tcPr>
            <w:tcW w:w="6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 value at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3"/>
                <w:szCs w:val="13"/>
                <w:b w:val="1"/>
                <w:bCs w:val="1"/>
                <w:color w:val="auto"/>
                <w:w w:val="84"/>
              </w:rPr>
              <w:t>Year ended December 31, 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9"/>
              </w:rPr>
              <w:t>Fair value at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8"/>
              <w:spacing w:after="0" w:line="110" w:lineRule="exact"/>
              <w:rPr>
                <w:sz w:val="20"/>
                <w:szCs w:val="20"/>
                <w:color w:val="auto"/>
              </w:rPr>
            </w:pPr>
            <w:r>
              <w:rPr>
                <w:rFonts w:ascii="Arial" w:cs="Arial" w:eastAsia="Arial" w:hAnsi="Arial"/>
                <w:sz w:val="12"/>
                <w:szCs w:val="12"/>
                <w:b w:val="1"/>
                <w:bCs w:val="1"/>
                <w:color w:val="auto"/>
                <w:w w:val="91"/>
              </w:rPr>
              <w:t>Transfers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rPr>
              <w:t>Net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Company</w:t>
            </w:r>
          </w:p>
        </w:tc>
        <w:tc>
          <w:tcPr>
            <w:tcW w:w="10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in/(out) at fair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87"/>
              </w:rPr>
              <w:t>unrealized</w:t>
            </w:r>
          </w:p>
        </w:tc>
        <w:tc>
          <w:tcPr>
            <w:tcW w:w="8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Purchases</w:t>
            </w:r>
          </w:p>
        </w:tc>
        <w:tc>
          <w:tcPr>
            <w:tcW w:w="1040" w:type="dxa"/>
            <w:vAlign w:val="bottom"/>
            <w:gridSpan w:val="3"/>
          </w:tcPr>
          <w:p>
            <w:pPr>
              <w:jc w:val="right"/>
              <w:ind w:right="258"/>
              <w:spacing w:after="0"/>
              <w:rPr>
                <w:sz w:val="20"/>
                <w:szCs w:val="20"/>
                <w:color w:val="auto"/>
              </w:rPr>
            </w:pPr>
            <w:r>
              <w:rPr>
                <w:rFonts w:ascii="Arial" w:cs="Arial" w:eastAsia="Arial" w:hAnsi="Arial"/>
                <w:sz w:val="13"/>
                <w:szCs w:val="13"/>
                <w:b w:val="1"/>
                <w:bCs w:val="1"/>
                <w:color w:val="auto"/>
                <w:w w:val="89"/>
              </w:rPr>
              <w:t>Distributions</w:t>
            </w:r>
          </w:p>
        </w:tc>
        <w:tc>
          <w:tcPr>
            <w:tcW w:w="80" w:type="dxa"/>
            <w:vAlign w:val="bottom"/>
          </w:tcPr>
          <w:p>
            <w:pPr>
              <w:spacing w:after="0"/>
              <w:rPr>
                <w:sz w:val="13"/>
                <w:szCs w:val="13"/>
                <w:color w:val="auto"/>
              </w:rPr>
            </w:pPr>
          </w:p>
        </w:tc>
        <w:tc>
          <w:tcPr>
            <w:tcW w:w="740" w:type="dxa"/>
            <w:vAlign w:val="bottom"/>
          </w:tcPr>
          <w:p>
            <w:pPr>
              <w:jc w:val="center"/>
              <w:ind w:right="18"/>
              <w:spacing w:after="0"/>
              <w:rPr>
                <w:sz w:val="20"/>
                <w:szCs w:val="20"/>
                <w:color w:val="auto"/>
              </w:rPr>
            </w:pPr>
            <w:r>
              <w:rPr>
                <w:rFonts w:ascii="Arial" w:cs="Arial" w:eastAsia="Arial" w:hAnsi="Arial"/>
                <w:sz w:val="13"/>
                <w:szCs w:val="13"/>
                <w:b w:val="1"/>
                <w:bCs w:val="1"/>
                <w:color w:val="auto"/>
                <w:w w:val="90"/>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declared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6"/>
              </w:rPr>
              <w:t>gain/(loss)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center"/>
              <w:ind w:right="117"/>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gain/(loss)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9"/>
        </w:trPr>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4"/>
          </w:tcPr>
          <w:p>
            <w:pPr>
              <w:jc w:val="right"/>
              <w:ind w:right="220"/>
              <w:spacing w:after="0" w:line="129" w:lineRule="exact"/>
              <w:rPr>
                <w:sz w:val="20"/>
                <w:szCs w:val="20"/>
                <w:color w:val="auto"/>
              </w:rPr>
            </w:pPr>
            <w:r>
              <w:rPr>
                <w:rFonts w:ascii="Arial" w:cs="Arial" w:eastAsia="Arial" w:hAnsi="Arial"/>
                <w:sz w:val="13"/>
                <w:szCs w:val="13"/>
                <w:b w:val="1"/>
                <w:bCs w:val="1"/>
                <w:color w:val="auto"/>
              </w:rPr>
              <w:t>(In thousands)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HSLFI</w:t>
            </w:r>
            <w:r>
              <w:rPr>
                <w:rFonts w:ascii="Arial" w:cs="Arial" w:eastAsia="Arial" w:hAnsi="Arial"/>
                <w:sz w:val="20"/>
                <w:szCs w:val="20"/>
                <w:color w:val="auto"/>
                <w:vertAlign w:val="superscript"/>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13,262</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(19)</w:t>
            </w:r>
          </w:p>
        </w:tc>
        <w:tc>
          <w:tcPr>
            <w:tcW w:w="2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0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Total controlled affiliates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ind w:left="620"/>
              <w:spacing w:after="0" w:line="143"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ind w:left="360"/>
              <w:spacing w:after="0" w:line="143" w:lineRule="exact"/>
              <w:rPr>
                <w:sz w:val="20"/>
                <w:szCs w:val="20"/>
                <w:color w:val="auto"/>
              </w:rPr>
            </w:pPr>
            <w:r>
              <w:rPr>
                <w:rFonts w:ascii="Arial" w:cs="Arial" w:eastAsia="Arial" w:hAnsi="Arial"/>
                <w:sz w:val="13"/>
                <w:szCs w:val="13"/>
                <w:color w:val="auto"/>
                <w:w w:val="80"/>
              </w:rPr>
              <w:t>13,262</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(255</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ind w:left="600"/>
              <w:spacing w:after="0" w:line="143"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ind w:left="580"/>
              <w:spacing w:after="0" w:line="143"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76"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each of the Company and Arena. Because management of HSLFI is shared equally between the Company and Arena, the Company does not have sole control over significant actions of HSLFI for purposes of the 1940 Act or otherwise.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300" w:hanging="971"/>
        <w:spacing w:after="0" w:line="264" w:lineRule="auto"/>
        <w:tabs>
          <w:tab w:leader="none" w:pos="12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300" w:hanging="971"/>
        <w:spacing w:after="0" w:line="259" w:lineRule="auto"/>
        <w:tabs>
          <w:tab w:leader="none" w:pos="12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 of valuation.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are recorded at fair value on a recurring basis and are categorized as Level 2 within the fair value hierarchy described above as these funds can be redeemed daily.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year end rates at which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would be made to borrowers with similar credit ratings and for the same remaining maturities. At December 31, 2019 and 2018, the hypothetical market yields used ranged from 10% to 16% and 11% to 25%,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66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December 31, 2019 and 2018. In addition to the techniques and inputs noted in the table below, according to the Company’s valuation policy, the Company may also use other valuation techniques and methodologies when determining its fair value measurements.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Fair</w:t>
            </w:r>
          </w:p>
        </w:tc>
        <w:tc>
          <w:tcPr>
            <w:tcW w:w="2800" w:type="dxa"/>
            <w:vAlign w:val="bottom"/>
            <w:tcBorders>
              <w:top w:val="single" w:sz="8" w:color="auto"/>
            </w:tcBorders>
          </w:tcPr>
          <w:p>
            <w:pPr>
              <w:ind w:left="860"/>
              <w:spacing w:after="0" w:line="129" w:lineRule="exact"/>
              <w:rPr>
                <w:sz w:val="20"/>
                <w:szCs w:val="20"/>
                <w:color w:val="auto"/>
              </w:rPr>
            </w:pPr>
            <w:r>
              <w:rPr>
                <w:rFonts w:ascii="Arial" w:cs="Arial" w:eastAsia="Arial" w:hAnsi="Arial"/>
                <w:sz w:val="14"/>
                <w:szCs w:val="14"/>
                <w:b w:val="1"/>
                <w:bCs w:val="1"/>
                <w:color w:val="auto"/>
              </w:rPr>
              <w:t>Valuation Techniques/</w:t>
            </w:r>
          </w:p>
        </w:tc>
        <w:tc>
          <w:tcPr>
            <w:tcW w:w="2240" w:type="dxa"/>
            <w:vAlign w:val="bottom"/>
            <w:tcBorders>
              <w:top w:val="single" w:sz="8" w:color="auto"/>
            </w:tcBorders>
          </w:tcPr>
          <w:p>
            <w:pPr>
              <w:ind w:left="640"/>
              <w:spacing w:after="0" w:line="129" w:lineRule="exact"/>
              <w:rPr>
                <w:sz w:val="20"/>
                <w:szCs w:val="20"/>
                <w:color w:val="auto"/>
              </w:rPr>
            </w:pPr>
            <w:r>
              <w:rPr>
                <w:rFonts w:ascii="Arial" w:cs="Arial" w:eastAsia="Arial" w:hAnsi="Arial"/>
                <w:sz w:val="14"/>
                <w:szCs w:val="14"/>
                <w:b w:val="1"/>
                <w:bCs w:val="1"/>
                <w:color w:val="auto"/>
              </w:rPr>
              <w:t>Unobservable</w:t>
            </w:r>
          </w:p>
        </w:tc>
        <w:tc>
          <w:tcPr>
            <w:tcW w:w="19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left="208"/>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202"/>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2800" w:type="dxa"/>
            <w:vAlign w:val="bottom"/>
          </w:tcPr>
          <w:p>
            <w:pPr>
              <w:ind w:left="1080"/>
              <w:spacing w:after="0"/>
              <w:rPr>
                <w:sz w:val="20"/>
                <w:szCs w:val="20"/>
                <w:color w:val="auto"/>
              </w:rPr>
            </w:pPr>
            <w:r>
              <w:rPr>
                <w:rFonts w:ascii="Arial" w:cs="Arial" w:eastAsia="Arial" w:hAnsi="Arial"/>
                <w:sz w:val="14"/>
                <w:szCs w:val="14"/>
                <w:b w:val="1"/>
                <w:bCs w:val="1"/>
                <w:color w:val="auto"/>
              </w:rPr>
              <w:t>Methodologies</w:t>
            </w:r>
          </w:p>
        </w:tc>
        <w:tc>
          <w:tcPr>
            <w:tcW w:w="2240" w:type="dxa"/>
            <w:vAlign w:val="bottom"/>
          </w:tcPr>
          <w:p>
            <w:pPr>
              <w:ind w:left="900"/>
              <w:spacing w:after="0"/>
              <w:rPr>
                <w:sz w:val="20"/>
                <w:szCs w:val="20"/>
                <w:color w:val="auto"/>
              </w:rPr>
            </w:pPr>
            <w:r>
              <w:rPr>
                <w:rFonts w:ascii="Arial" w:cs="Arial" w:eastAsia="Arial" w:hAnsi="Arial"/>
                <w:sz w:val="14"/>
                <w:szCs w:val="14"/>
                <w:b w:val="1"/>
                <w:bCs w:val="1"/>
                <w:color w:val="auto"/>
              </w:rPr>
              <w:t>Input</w:t>
            </w:r>
          </w:p>
        </w:tc>
        <w:tc>
          <w:tcPr>
            <w:tcW w:w="1940" w:type="dxa"/>
            <w:vAlign w:val="bottom"/>
          </w:tcPr>
          <w:p>
            <w:pPr>
              <w:ind w:left="740"/>
              <w:spacing w:after="0"/>
              <w:rPr>
                <w:sz w:val="20"/>
                <w:szCs w:val="20"/>
                <w:color w:val="auto"/>
              </w:rPr>
            </w:pPr>
            <w:r>
              <w:rPr>
                <w:rFonts w:ascii="Arial" w:cs="Arial" w:eastAsia="Arial" w:hAnsi="Arial"/>
                <w:sz w:val="14"/>
                <w:szCs w:val="14"/>
                <w:b w:val="1"/>
                <w:bCs w:val="1"/>
                <w:color w:val="auto"/>
              </w:rPr>
              <w:t>Range</w:t>
            </w:r>
          </w:p>
        </w:tc>
        <w:tc>
          <w:tcPr>
            <w:tcW w:w="1300" w:type="dxa"/>
            <w:vAlign w:val="bottom"/>
          </w:tcPr>
          <w:p>
            <w:pPr>
              <w:jc w:val="center"/>
              <w:ind w:left="228"/>
              <w:spacing w:after="0" w:line="202" w:lineRule="exact"/>
              <w:rPr>
                <w:sz w:val="20"/>
                <w:szCs w:val="20"/>
                <w:color w:val="auto"/>
              </w:rPr>
            </w:pPr>
            <w:r>
              <w:rPr>
                <w:rFonts w:ascii="Arial" w:cs="Arial" w:eastAsia="Arial" w:hAnsi="Arial"/>
                <w:sz w:val="14"/>
                <w:szCs w:val="14"/>
                <w:b w:val="1"/>
                <w:bCs w:val="1"/>
                <w:color w:val="auto"/>
                <w:w w:val="86"/>
              </w:rPr>
              <w:t>Average</w:t>
            </w:r>
            <w:r>
              <w:rPr>
                <w:rFonts w:ascii="Arial" w:cs="Arial" w:eastAsia="Arial" w:hAnsi="Arial"/>
                <w:sz w:val="23"/>
                <w:szCs w:val="23"/>
                <w:b w:val="1"/>
                <w:bCs w:val="1"/>
                <w:color w:val="auto"/>
                <w:w w:val="86"/>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40" w:type="dxa"/>
            <w:vAlign w:val="bottom"/>
            <w:tcBorders>
              <w:top w:val="single" w:sz="8" w:color="auto"/>
            </w:tcBorders>
            <w:gridSpan w:val="2"/>
          </w:tcPr>
          <w:p>
            <w:pPr>
              <w:ind w:left="120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9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Debt investments</w:t>
            </w:r>
          </w:p>
        </w:tc>
        <w:tc>
          <w:tcPr>
            <w:tcW w:w="360" w:type="dxa"/>
            <w:vAlign w:val="bottom"/>
            <w:gridSpan w:val="2"/>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262,635</w:t>
            </w:r>
          </w:p>
        </w:tc>
        <w:tc>
          <w:tcPr>
            <w:tcW w:w="28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Discounted Expected Future Cash Flows</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Hypothetical Market Yield</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10% – 16%</w:t>
            </w:r>
          </w:p>
        </w:tc>
        <w:tc>
          <w:tcPr>
            <w:tcW w:w="1300" w:type="dxa"/>
            <w:vAlign w:val="bottom"/>
            <w:shd w:val="clear" w:color="auto" w:fill="CCEEFF"/>
          </w:tcPr>
          <w:p>
            <w:pPr>
              <w:jc w:val="center"/>
              <w:ind w:left="328"/>
              <w:spacing w:after="0" w:line="130" w:lineRule="exact"/>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13,864</w:t>
            </w:r>
          </w:p>
        </w:tc>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Liquidation Scenario</w:t>
            </w:r>
          </w:p>
        </w:tc>
        <w:tc>
          <w:tcPr>
            <w:tcW w:w="2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Probability Weighting</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13% – 100%</w:t>
            </w:r>
          </w:p>
        </w:tc>
        <w:tc>
          <w:tcPr>
            <w:tcW w:w="13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11,856</w:t>
            </w:r>
          </w:p>
        </w:tc>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Multiple Probability Weighted Cash Flow</w:t>
            </w:r>
          </w:p>
        </w:tc>
        <w:tc>
          <w:tcPr>
            <w:tcW w:w="2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Model</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Probability Weighting</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 – 60%</w:t>
            </w:r>
          </w:p>
        </w:tc>
        <w:tc>
          <w:tcPr>
            <w:tcW w:w="130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5,598</w:t>
            </w:r>
          </w:p>
        </w:tc>
        <w:tc>
          <w:tcPr>
            <w:tcW w:w="28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Black-Scholes Valuation Model</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Price Per Share</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$0.00 – $980.00</w:t>
            </w:r>
          </w:p>
        </w:tc>
        <w:tc>
          <w:tcPr>
            <w:tcW w:w="1300" w:type="dxa"/>
            <w:vAlign w:val="bottom"/>
            <w:shd w:val="clear" w:color="auto" w:fill="CCEEFF"/>
          </w:tcPr>
          <w:p>
            <w:pPr>
              <w:jc w:val="center"/>
              <w:ind w:left="308"/>
              <w:spacing w:after="0" w:line="130" w:lineRule="exact"/>
              <w:rPr>
                <w:sz w:val="20"/>
                <w:szCs w:val="20"/>
                <w:color w:val="auto"/>
              </w:rPr>
            </w:pPr>
            <w:r>
              <w:rPr>
                <w:rFonts w:ascii="Arial" w:cs="Arial" w:eastAsia="Arial" w:hAnsi="Arial"/>
                <w:sz w:val="14"/>
                <w:szCs w:val="14"/>
                <w:color w:val="auto"/>
                <w:w w:val="93"/>
              </w:rPr>
              <w:t>$12.42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Average Industry Volatility</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22%</w:t>
            </w:r>
          </w:p>
        </w:tc>
        <w:tc>
          <w:tcPr>
            <w:tcW w:w="13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Marketability Discount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20%</w:t>
            </w:r>
          </w:p>
        </w:tc>
        <w:tc>
          <w:tcPr>
            <w:tcW w:w="13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Estimated Time to Exit</w:t>
            </w:r>
          </w:p>
        </w:tc>
        <w:tc>
          <w:tcPr>
            <w:tcW w:w="19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1 to 4 years</w:t>
            </w:r>
          </w:p>
        </w:tc>
        <w:tc>
          <w:tcPr>
            <w:tcW w:w="1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4,561</w:t>
            </w:r>
          </w:p>
        </w:tc>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Estimated Proceeds</w:t>
            </w:r>
          </w:p>
        </w:tc>
        <w:tc>
          <w:tcPr>
            <w:tcW w:w="2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Per Share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$6.22 – $12.90</w:t>
            </w:r>
          </w:p>
        </w:tc>
        <w:tc>
          <w:tcPr>
            <w:tcW w:w="13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Discount Rate</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 – 20%</w:t>
            </w:r>
          </w:p>
        </w:tc>
        <w:tc>
          <w:tcPr>
            <w:tcW w:w="130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500</w:t>
            </w:r>
          </w:p>
        </w:tc>
        <w:tc>
          <w:tcPr>
            <w:tcW w:w="20" w:type="dxa"/>
            <w:vAlign w:val="bottom"/>
            <w:shd w:val="clear" w:color="auto" w:fill="CCEEFF"/>
          </w:tcPr>
          <w:p>
            <w:pPr>
              <w:spacing w:after="0"/>
              <w:rPr>
                <w:sz w:val="11"/>
                <w:szCs w:val="11"/>
                <w:color w:val="auto"/>
              </w:rPr>
            </w:pPr>
          </w:p>
        </w:tc>
        <w:tc>
          <w:tcPr>
            <w:tcW w:w="28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Multiple Probability Weighted Cash Flow</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Discount Rate</w:t>
            </w:r>
          </w:p>
        </w:tc>
        <w:tc>
          <w:tcPr>
            <w:tcW w:w="1940" w:type="dxa"/>
            <w:vAlign w:val="bottom"/>
            <w:shd w:val="clear" w:color="auto" w:fill="CCEEFF"/>
          </w:tcPr>
          <w:p>
            <w:pPr>
              <w:jc w:val="right"/>
              <w:ind w:right="768"/>
              <w:spacing w:after="0" w:line="130" w:lineRule="exact"/>
              <w:rPr>
                <w:sz w:val="20"/>
                <w:szCs w:val="20"/>
                <w:color w:val="auto"/>
              </w:rPr>
            </w:pPr>
            <w:r>
              <w:rPr>
                <w:rFonts w:ascii="Arial" w:cs="Arial" w:eastAsia="Arial" w:hAnsi="Arial"/>
                <w:sz w:val="14"/>
                <w:szCs w:val="14"/>
                <w:color w:val="auto"/>
              </w:rPr>
              <w:t>25%</w:t>
            </w:r>
          </w:p>
        </w:tc>
        <w:tc>
          <w:tcPr>
            <w:tcW w:w="13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Model</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Probability Weighting</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30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3,125</w:t>
            </w:r>
          </w:p>
        </w:tc>
        <w:tc>
          <w:tcPr>
            <w:tcW w:w="2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Equity Financing</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Price Per Share</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$0.00 – $13.04</w:t>
            </w:r>
          </w:p>
        </w:tc>
        <w:tc>
          <w:tcPr>
            <w:tcW w:w="130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1"/>
              </w:rPr>
              <w:t>$2.71</w:t>
            </w: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5" w:lineRule="exact"/>
              <w:rPr>
                <w:sz w:val="20"/>
                <w:szCs w:val="20"/>
                <w:color w:val="auto"/>
              </w:rPr>
            </w:pPr>
            <w:r>
              <w:rPr>
                <w:rFonts w:ascii="Arial" w:cs="Arial" w:eastAsia="Arial" w:hAnsi="Arial"/>
                <w:sz w:val="14"/>
                <w:szCs w:val="14"/>
                <w:color w:val="auto"/>
              </w:rPr>
              <w:t>Total Level 3 investments</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302,139</w:t>
            </w:r>
          </w:p>
        </w:tc>
        <w:tc>
          <w:tcPr>
            <w:tcW w:w="20" w:type="dxa"/>
            <w:vAlign w:val="bottom"/>
            <w:tcBorders>
              <w:bottom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Fair</w:t>
            </w:r>
          </w:p>
        </w:tc>
        <w:tc>
          <w:tcPr>
            <w:tcW w:w="2760" w:type="dxa"/>
            <w:vAlign w:val="bottom"/>
          </w:tcPr>
          <w:p>
            <w:pPr>
              <w:ind w:left="800"/>
              <w:spacing w:after="0" w:line="110" w:lineRule="exact"/>
              <w:rPr>
                <w:sz w:val="20"/>
                <w:szCs w:val="20"/>
                <w:color w:val="auto"/>
              </w:rPr>
            </w:pPr>
            <w:r>
              <w:rPr>
                <w:rFonts w:ascii="Arial" w:cs="Arial" w:eastAsia="Arial" w:hAnsi="Arial"/>
                <w:sz w:val="12"/>
                <w:szCs w:val="12"/>
                <w:b w:val="1"/>
                <w:bCs w:val="1"/>
                <w:color w:val="auto"/>
              </w:rPr>
              <w:t>Valuation Techniques/</w:t>
            </w:r>
          </w:p>
        </w:tc>
        <w:tc>
          <w:tcPr>
            <w:tcW w:w="2180" w:type="dxa"/>
            <w:vAlign w:val="bottom"/>
          </w:tcPr>
          <w:p>
            <w:pPr>
              <w:ind w:left="580"/>
              <w:spacing w:after="0" w:line="110" w:lineRule="exact"/>
              <w:rPr>
                <w:sz w:val="20"/>
                <w:szCs w:val="20"/>
                <w:color w:val="auto"/>
              </w:rPr>
            </w:pPr>
            <w:r>
              <w:rPr>
                <w:rFonts w:ascii="Arial" w:cs="Arial" w:eastAsia="Arial" w:hAnsi="Arial"/>
                <w:sz w:val="12"/>
                <w:szCs w:val="12"/>
                <w:b w:val="1"/>
                <w:bCs w:val="1"/>
                <w:color w:val="auto"/>
              </w:rPr>
              <w:t>Unobservable</w:t>
            </w:r>
          </w:p>
        </w:tc>
        <w:tc>
          <w:tcPr>
            <w:tcW w:w="1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jc w:val="center"/>
              <w:ind w:right="149"/>
              <w:spacing w:after="0" w:line="110" w:lineRule="exact"/>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202"/>
        </w:trPr>
        <w:tc>
          <w:tcPr>
            <w:tcW w:w="1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760" w:type="dxa"/>
            <w:vAlign w:val="bottom"/>
          </w:tcPr>
          <w:p>
            <w:pPr>
              <w:ind w:left="1020"/>
              <w:spacing w:after="0"/>
              <w:rPr>
                <w:sz w:val="20"/>
                <w:szCs w:val="20"/>
                <w:color w:val="auto"/>
              </w:rPr>
            </w:pPr>
            <w:r>
              <w:rPr>
                <w:rFonts w:ascii="Arial" w:cs="Arial" w:eastAsia="Arial" w:hAnsi="Arial"/>
                <w:sz w:val="14"/>
                <w:szCs w:val="14"/>
                <w:b w:val="1"/>
                <w:bCs w:val="1"/>
                <w:color w:val="auto"/>
              </w:rPr>
              <w:t>Methodologies</w:t>
            </w:r>
          </w:p>
        </w:tc>
        <w:tc>
          <w:tcPr>
            <w:tcW w:w="2180" w:type="dxa"/>
            <w:vAlign w:val="bottom"/>
          </w:tcPr>
          <w:p>
            <w:pPr>
              <w:ind w:left="84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Range</w:t>
            </w:r>
          </w:p>
        </w:tc>
        <w:tc>
          <w:tcPr>
            <w:tcW w:w="500" w:type="dxa"/>
            <w:vAlign w:val="bottom"/>
          </w:tcPr>
          <w:p>
            <w:pPr>
              <w:spacing w:after="0"/>
              <w:rPr>
                <w:sz w:val="17"/>
                <w:szCs w:val="17"/>
                <w:color w:val="auto"/>
              </w:rPr>
            </w:pPr>
          </w:p>
        </w:tc>
        <w:tc>
          <w:tcPr>
            <w:tcW w:w="1000" w:type="dxa"/>
            <w:vAlign w:val="bottom"/>
          </w:tcPr>
          <w:p>
            <w:pPr>
              <w:jc w:val="center"/>
              <w:ind w:right="169"/>
              <w:spacing w:after="0" w:line="202" w:lineRule="exact"/>
              <w:rPr>
                <w:sz w:val="20"/>
                <w:szCs w:val="20"/>
                <w:color w:val="auto"/>
              </w:rPr>
            </w:pPr>
            <w:r>
              <w:rPr>
                <w:rFonts w:ascii="Arial" w:cs="Arial" w:eastAsia="Arial" w:hAnsi="Arial"/>
                <w:sz w:val="14"/>
                <w:szCs w:val="14"/>
                <w:b w:val="1"/>
                <w:bCs w:val="1"/>
                <w:color w:val="auto"/>
                <w:w w:val="86"/>
              </w:rPr>
              <w:t>Average</w:t>
            </w:r>
            <w:r>
              <w:rPr>
                <w:rFonts w:ascii="Arial" w:cs="Arial" w:eastAsia="Arial" w:hAnsi="Arial"/>
                <w:sz w:val="23"/>
                <w:szCs w:val="23"/>
                <w:b w:val="1"/>
                <w:bCs w:val="1"/>
                <w:color w:val="auto"/>
                <w:w w:val="86"/>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40" w:type="dxa"/>
            <w:vAlign w:val="bottom"/>
            <w:tcBorders>
              <w:top w:val="single" w:sz="8" w:color="auto"/>
            </w:tcBorders>
            <w:gridSpan w:val="2"/>
          </w:tcPr>
          <w:p>
            <w:pPr>
              <w:ind w:left="120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8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3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216,401</w:t>
            </w:r>
          </w:p>
        </w:tc>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Discounted Expected Future Cash Flows</w:t>
            </w:r>
          </w:p>
        </w:tc>
        <w:tc>
          <w:tcPr>
            <w:tcW w:w="2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8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11% – 25%</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49"/>
              <w:spacing w:after="0" w:line="149" w:lineRule="exact"/>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840" w:type="dxa"/>
            <w:vAlign w:val="bottom"/>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2"/>
              </w:rPr>
              <w:t>$0.00 – $980.00</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center"/>
              <w:ind w:right="49"/>
              <w:spacing w:after="0" w:line="130" w:lineRule="exact"/>
              <w:rPr>
                <w:sz w:val="20"/>
                <w:szCs w:val="20"/>
                <w:color w:val="auto"/>
              </w:rPr>
            </w:pPr>
            <w:r>
              <w:rPr>
                <w:rFonts w:ascii="Arial" w:cs="Arial" w:eastAsia="Arial" w:hAnsi="Arial"/>
                <w:sz w:val="14"/>
                <w:szCs w:val="14"/>
                <w:color w:val="auto"/>
                <w:w w:val="95"/>
              </w:rPr>
              <w:t>$44.76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7,888</w:t>
            </w:r>
          </w:p>
        </w:tc>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Black-Scholes Valuation Model</w:t>
            </w:r>
          </w:p>
        </w:tc>
        <w:tc>
          <w:tcPr>
            <w:tcW w:w="2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8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20%</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49"/>
              <w:spacing w:after="0" w:line="149" w:lineRule="exact"/>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8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20%</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49"/>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Time to Exit</w:t>
            </w:r>
          </w:p>
        </w:tc>
        <w:tc>
          <w:tcPr>
            <w:tcW w:w="1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 to 5 years</w:t>
            </w: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87"/>
              </w:rPr>
              <w:t>2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Estimated Proceeds</w:t>
            </w:r>
          </w:p>
        </w:tc>
        <w:tc>
          <w:tcPr>
            <w:tcW w:w="2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Price Per Share</w:t>
            </w:r>
          </w:p>
        </w:tc>
        <w:tc>
          <w:tcPr>
            <w:tcW w:w="184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$0.21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ind w:right="49"/>
              <w:spacing w:after="0" w:line="149" w:lineRule="exact"/>
              <w:rPr>
                <w:sz w:val="20"/>
                <w:szCs w:val="20"/>
                <w:color w:val="auto"/>
              </w:rPr>
            </w:pPr>
            <w:r>
              <w:rPr>
                <w:rFonts w:ascii="Arial" w:cs="Arial" w:eastAsia="Arial" w:hAnsi="Arial"/>
                <w:sz w:val="14"/>
                <w:szCs w:val="14"/>
                <w:color w:val="auto"/>
                <w:w w:val="87"/>
              </w:rPr>
              <w:t>0.21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7,640</w:t>
            </w:r>
          </w:p>
        </w:tc>
        <w:tc>
          <w:tcPr>
            <w:tcW w:w="27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Multiple Probability Weighted Cash Flow</w:t>
            </w:r>
          </w:p>
        </w:tc>
        <w:tc>
          <w:tcPr>
            <w:tcW w:w="21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840" w:type="dxa"/>
            <w:vAlign w:val="bottom"/>
            <w:shd w:val="clear" w:color="auto" w:fill="CCEEFF"/>
          </w:tcPr>
          <w:p>
            <w:pPr>
              <w:ind w:left="660"/>
              <w:spacing w:after="0" w:line="130" w:lineRule="exact"/>
              <w:rPr>
                <w:sz w:val="20"/>
                <w:szCs w:val="20"/>
                <w:color w:val="auto"/>
              </w:rPr>
            </w:pPr>
            <w:r>
              <w:rPr>
                <w:rFonts w:ascii="Arial" w:cs="Arial" w:eastAsia="Arial" w:hAnsi="Arial"/>
                <w:sz w:val="14"/>
                <w:szCs w:val="14"/>
                <w:color w:val="auto"/>
              </w:rPr>
              <w:t>0% – 25%</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369"/>
              <w:spacing w:after="0" w:line="13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Model</w:t>
            </w: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8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3"/>
              </w:rPr>
              <w:t>10% – 100%</w:t>
            </w: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1,289</w:t>
            </w:r>
          </w:p>
        </w:tc>
        <w:tc>
          <w:tcPr>
            <w:tcW w:w="2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Equity Financing</w:t>
            </w:r>
          </w:p>
        </w:tc>
        <w:tc>
          <w:tcPr>
            <w:tcW w:w="2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8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3"/>
              </w:rPr>
              <w:t>$0.00 – $2.24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87"/>
              </w:rPr>
              <w:t>0.80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233,962</w:t>
            </w:r>
          </w:p>
        </w:tc>
        <w:tc>
          <w:tcPr>
            <w:tcW w:w="20" w:type="dxa"/>
            <w:vAlign w:val="bottom"/>
            <w:tcBorders>
              <w:bottom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Borrowings: </w:t>
      </w:r>
      <w:r>
        <w:rPr>
          <w:rFonts w:ascii="Arial" w:cs="Arial" w:eastAsia="Arial" w:hAnsi="Arial"/>
          <w:sz w:val="16"/>
          <w:szCs w:val="16"/>
          <w:color w:val="auto"/>
        </w:rPr>
        <w:t>The carrying amount of borrowings under the Key Facility with KeyBank National Association (“Key”) approximates fair value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December 31, 2019, the closing price of the 2022 Notes on the New York Stock Exchange was $25.55 per note, or $38.2 million. Therefore, the Company has categorized this borrowing as Level 1 within the fair value hierarchy described above. Based on market quotations on December 31, 2019, the Asset-Backed Notes (as defined in Note 7) were trading at par value, or $100.0 million, and are categorized as Level 3 within the fair value hierarchy described above. These borrowings are not recorded at fair value on a recurring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December 31, 2019 and 2018 and indicate the fair value hierarchy of the valuation techniques utilized by the Company to determine the fair value: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16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9,787</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Restricted investments in money market funds</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1,133</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288,355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288,355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Warrant investments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10,159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Equity investments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9"/>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investments</w:t>
            </w:r>
          </w:p>
        </w:tc>
        <w:tc>
          <w:tcPr>
            <w:tcW w:w="7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92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302,139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809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1060" w:right="740" w:hanging="40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3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3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216,401</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216,401</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Warrant investments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8,632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9,324</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Equity investments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544</w:t>
            </w:r>
          </w:p>
        </w:tc>
        <w:tc>
          <w:tcPr>
            <w:tcW w:w="8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r>
      <w:tr>
        <w:trPr>
          <w:trHeight w:val="270"/>
        </w:trPr>
        <w:tc>
          <w:tcPr>
            <w:tcW w:w="34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1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13,243</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investments</w:t>
            </w:r>
          </w:p>
        </w:tc>
        <w:tc>
          <w:tcPr>
            <w:tcW w:w="1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544</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060" w:right="740" w:hanging="40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2019:</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Investments</w:t>
            </w:r>
          </w:p>
        </w:tc>
        <w:tc>
          <w:tcPr>
            <w:tcW w:w="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Investments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1"/>
              </w:rPr>
              <w:t>(In thousands)</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233,962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200,832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200,832</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Warrants and equity received and classified as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(129,079)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(129,190)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(4,608)</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Unrealized (depreciation) appreciation included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earnings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Transfer out of Level 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Transfer of investment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2019, there was one transfer out of Level 3. The transfer out of Level 3 related to warrants held in one portfolio company with an aggregate fair value of $0.2 million that was transferred to Level 2 upon the portfolio company becoming a public company. During the year ended December 31, 2019, there were no transfers to Level 3.</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December 31, 2019 includes $3.1 million in unrealized depreciation on debt and other investments, $1.0 million in unrealized appreciation on warrant investments and $1.6 million in unrealized appreciation on equity investments.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2018:</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Investments</w:t>
            </w:r>
          </w:p>
        </w:tc>
        <w:tc>
          <w:tcPr>
            <w:tcW w:w="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Investments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1"/>
              </w:rPr>
              <w:t>(In thousands)</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7,373</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219,115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101,257</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Warrants and equity received and classified as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(84,439)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Unrealized (depreciation) appreciation included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earnings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(1,081)</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2018, there were no transfers in or out of Level 3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December 31, 2018 includes $0.2 million in unrealized depreciation on debt and other investments, $0.2 million in unrealized appreciation on warrant investments and $0.05 million in unrealized depreciation on equity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 at year-end.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and 2018, all of the balances of all the Company’s financial instruments were recorded at fair value, except for the Company’s 2022 Notes, as previously described.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borrowings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6"/>
                <w:szCs w:val="16"/>
                <w:color w:val="auto"/>
              </w:rPr>
            </w:pPr>
          </w:p>
        </w:tc>
        <w:tc>
          <w:tcPr>
            <w:tcW w:w="11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Unused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7"/>
              </w:rPr>
              <w:t>Unused</w:t>
            </w:r>
          </w:p>
        </w:tc>
        <w:tc>
          <w:tcPr>
            <w:tcW w:w="100" w:type="dxa"/>
            <w:vAlign w:val="bottom"/>
            <w:gridSpan w:val="2"/>
          </w:tcPr>
          <w:p>
            <w:pPr>
              <w:spacing w:after="0"/>
              <w:rPr>
                <w:sz w:val="16"/>
                <w:szCs w:val="16"/>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r>
      <w:tr>
        <w:trPr>
          <w:trHeight w:val="210"/>
        </w:trPr>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34,500</w:t>
            </w: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Asset-Backed Notes</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154,375</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Unamortized debt issuance costs</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term borrowings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w w:val="98"/>
              </w:rPr>
              <w:t>Total borrowings outstanding,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both"/>
        <w:ind w:firstLine="324"/>
        <w:spacing w:after="0" w:line="342" w:lineRule="auto"/>
        <w:rPr>
          <w:sz w:val="20"/>
          <w:szCs w:val="20"/>
          <w:color w:val="auto"/>
        </w:rPr>
      </w:pPr>
      <w:r>
        <w:rPr>
          <w:rFonts w:ascii="Arial" w:cs="Arial" w:eastAsia="Arial" w:hAnsi="Arial"/>
          <w:sz w:val="16"/>
          <w:szCs w:val="16"/>
          <w:color w:val="auto"/>
        </w:rPr>
        <w:t>As of December 31, 2019, with certain limited exceptions, as a BDC, the Company is only allowed to borrow amounts such that the Company’s asset coverage, as defined in the 1940 Act, is at least 150% after such borrowings. As of December 31, 2019, the asset coverage for borrowed amounts was 219%.</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entered into the Key Facility with Key effective November 4, 2013. On December 28, 2018, the Company amended the Key Facility, increasing the aggregate commitments under the Key Facility by $25 million to $125 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1.76% and 2.50% on December 31, 2019 and 2018, respectively. The average interest rate for the years ended December 31, 2019 and 2018 was 5.51% and 5.23%, respectively. The Key Facility requires the payment of an unused line fee in an amount up to 0.50% on an annualized basis of any unborrowed amount available under the facility. As of December 31, 2019 and 2018, the Company had borrowing capacity under the Key Facility of $108.0 million and $34.5 million, respectively. At December 31, 2019 and 2018, $24.2 million and $0.9 million, respectively, was available, subject to existing terms and advance rates.</w:t>
      </w:r>
    </w:p>
    <w:p>
      <w:pPr>
        <w:spacing w:after="0" w:line="1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December 31, 2019, the Company was in material compliance with the terms of the 2022 Notes. The 2022 Notes are listed on the New York Stock Exchange under the symbol “HTFA”.</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13, 2019, the Company completed a term debt securitization in connection with which an affiliate of the Company made an offering of $100.0 million in aggregate principal amount of fixed rate asset-backed notes (the “Asset-Backed Notes”). The Asset-Backed Notes were rated A+(sf) by Morningstar Credit Ratings, LLC.</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Asset-Backed Notes were issued by the 2019-1 Trust pursuant to a note purchase agreement, dated as of August 13, 2019, by and among the Company and Keybanc Capital Markets Inc. as Initial Purchaser, and are backed by a pool of loans made to certain portfolio companies of the Company and secured by certain assets of those portfolio companies and are to be serviced by the Company. Interest on the Asset-Backed Notes will be paid, to the extent of funds available, at a fixed rate of 4.21% per annum. The Asset-Backed Notes have a two-year reinvestment period and a stated maturity of September 15, 2027.</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Asset-Backed Notes had an outstanding principal balance of $100.0 million. There was no outstanding principal balance for the Asset-Backed Notes at December 31,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terms of the Asset-Backed Notes, the Company is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December 31, 2019, there was approximately $1.1 million of restricted investments. There were no funds segregated as restricted investments related to the Asset-Backed Notes at December 31,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information about our senior securities as of December 31, 2018, 2018, 2017, 2016 and 2015:</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Total Amount</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Involuntary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Exclusive of</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Liquidation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Market</w:t>
            </w:r>
          </w:p>
        </w:tc>
      </w:tr>
      <w:tr>
        <w:trPr>
          <w:trHeight w:val="220"/>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Treasury</w:t>
            </w:r>
          </w:p>
        </w:tc>
        <w:tc>
          <w:tcPr>
            <w:tcW w:w="20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Asset Coverage</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Preference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Value per</w:t>
            </w:r>
          </w:p>
        </w:tc>
      </w:tr>
      <w:tr>
        <w:trPr>
          <w:trHeight w:val="271"/>
        </w:trPr>
        <w:tc>
          <w:tcPr>
            <w:tcW w:w="2920" w:type="dxa"/>
            <w:vAlign w:val="bottom"/>
          </w:tcPr>
          <w:p>
            <w:pPr>
              <w:spacing w:after="0"/>
              <w:rPr>
                <w:sz w:val="20"/>
                <w:szCs w:val="20"/>
                <w:color w:val="auto"/>
              </w:rPr>
            </w:pPr>
            <w:r>
              <w:rPr>
                <w:rFonts w:ascii="Arial" w:cs="Arial" w:eastAsia="Arial" w:hAnsi="Arial"/>
                <w:sz w:val="18"/>
                <w:szCs w:val="18"/>
                <w:b w:val="1"/>
                <w:bCs w:val="1"/>
                <w:color w:val="auto"/>
              </w:rPr>
              <w:t>Class and Year</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110"/>
              <w:spacing w:after="0" w:line="271" w:lineRule="exact"/>
              <w:rPr>
                <w:sz w:val="20"/>
                <w:szCs w:val="20"/>
                <w:color w:val="auto"/>
              </w:rPr>
            </w:pPr>
            <w:r>
              <w:rPr>
                <w:rFonts w:ascii="Arial" w:cs="Arial" w:eastAsia="Arial" w:hAnsi="Arial"/>
                <w:sz w:val="18"/>
                <w:szCs w:val="18"/>
                <w:b w:val="1"/>
                <w:bCs w:val="1"/>
                <w:color w:val="auto"/>
                <w:w w:val="83"/>
              </w:rPr>
              <w:t>Securities</w:t>
            </w:r>
            <w:r>
              <w:rPr>
                <w:rFonts w:ascii="Arial" w:cs="Arial" w:eastAsia="Arial" w:hAnsi="Arial"/>
                <w:sz w:val="30"/>
                <w:szCs w:val="30"/>
                <w:b w:val="1"/>
                <w:bCs w:val="1"/>
                <w:color w:val="auto"/>
                <w:w w:val="83"/>
                <w:vertAlign w:val="superscript"/>
              </w:rPr>
              <w:t>(1)</w:t>
            </w:r>
          </w:p>
        </w:tc>
        <w:tc>
          <w:tcPr>
            <w:tcW w:w="200" w:type="dxa"/>
            <w:vAlign w:val="bottom"/>
          </w:tcPr>
          <w:p>
            <w:pPr>
              <w:spacing w:after="0"/>
              <w:rPr>
                <w:sz w:val="23"/>
                <w:szCs w:val="23"/>
                <w:color w:val="auto"/>
              </w:rPr>
            </w:pPr>
          </w:p>
        </w:tc>
        <w:tc>
          <w:tcPr>
            <w:tcW w:w="1480" w:type="dxa"/>
            <w:vAlign w:val="bottom"/>
          </w:tcPr>
          <w:p>
            <w:pPr>
              <w:jc w:val="right"/>
              <w:ind w:right="390"/>
              <w:spacing w:after="0" w:line="271" w:lineRule="exact"/>
              <w:rPr>
                <w:sz w:val="20"/>
                <w:szCs w:val="20"/>
                <w:color w:val="auto"/>
              </w:rPr>
            </w:pPr>
            <w:r>
              <w:rPr>
                <w:rFonts w:ascii="Arial" w:cs="Arial" w:eastAsia="Arial" w:hAnsi="Arial"/>
                <w:sz w:val="18"/>
                <w:szCs w:val="18"/>
                <w:b w:val="1"/>
                <w:bCs w:val="1"/>
                <w:color w:val="auto"/>
              </w:rPr>
              <w:t>per Unit</w:t>
            </w:r>
            <w:r>
              <w:rPr>
                <w:rFonts w:ascii="Arial" w:cs="Arial" w:eastAsia="Arial" w:hAnsi="Arial"/>
                <w:sz w:val="30"/>
                <w:szCs w:val="30"/>
                <w:b w:val="1"/>
                <w:bCs w:val="1"/>
                <w:color w:val="auto"/>
                <w:vertAlign w:val="superscript"/>
              </w:rPr>
              <w:t>(2)</w:t>
            </w:r>
          </w:p>
        </w:tc>
        <w:tc>
          <w:tcPr>
            <w:tcW w:w="1140" w:type="dxa"/>
            <w:vAlign w:val="bottom"/>
          </w:tcPr>
          <w:p>
            <w:pPr>
              <w:jc w:val="center"/>
              <w:ind w:left="110"/>
              <w:spacing w:after="0" w:line="271" w:lineRule="exact"/>
              <w:rPr>
                <w:sz w:val="20"/>
                <w:szCs w:val="20"/>
                <w:color w:val="auto"/>
              </w:rPr>
            </w:pPr>
            <w:r>
              <w:rPr>
                <w:rFonts w:ascii="Arial" w:cs="Arial" w:eastAsia="Arial" w:hAnsi="Arial"/>
                <w:sz w:val="18"/>
                <w:szCs w:val="18"/>
                <w:b w:val="1"/>
                <w:bCs w:val="1"/>
                <w:color w:val="auto"/>
                <w:w w:val="88"/>
              </w:rPr>
              <w:t>per Unit</w:t>
            </w:r>
            <w:r>
              <w:rPr>
                <w:rFonts w:ascii="Arial" w:cs="Arial" w:eastAsia="Arial" w:hAnsi="Arial"/>
                <w:sz w:val="30"/>
                <w:szCs w:val="30"/>
                <w:b w:val="1"/>
                <w:bCs w:val="1"/>
                <w:color w:val="auto"/>
                <w:w w:val="88"/>
                <w:vertAlign w:val="superscript"/>
              </w:rPr>
              <w:t>(3)</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7"/>
              </w:rPr>
              <w:t>Unit</w:t>
            </w:r>
            <w:r>
              <w:rPr>
                <w:rFonts w:ascii="Arial" w:cs="Arial" w:eastAsia="Arial" w:hAnsi="Arial"/>
                <w:sz w:val="30"/>
                <w:szCs w:val="30"/>
                <w:b w:val="1"/>
                <w:bCs w:val="1"/>
                <w:color w:val="auto"/>
                <w:w w:val="87"/>
                <w:vertAlign w:val="superscript"/>
              </w:rPr>
              <w:t>(4)</w:t>
            </w:r>
          </w:p>
        </w:tc>
      </w:tr>
      <w:tr>
        <w:trPr>
          <w:trHeight w:val="210"/>
        </w:trPr>
        <w:tc>
          <w:tcPr>
            <w:tcW w:w="2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(In thousands, except unit data)</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19,908</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2,896</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3,973</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3,733</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4,048</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 Notes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37,375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9,055</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25.53</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7,014</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37,375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6,166</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25.66</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7,127</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8,342</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25.26</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2019-1 Securitization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3,384</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2013-1 Securitization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18,926</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senior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154,375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2,192</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2,050</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95,375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2,416</w:t>
            </w:r>
          </w:p>
        </w:tc>
        <w:tc>
          <w:tcPr>
            <w:tcW w:w="1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2,450</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2,383</w:t>
            </w:r>
          </w:p>
        </w:tc>
        <w:tc>
          <w:tcPr>
            <w:tcW w:w="11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senior securities outstanding at the end of the period presented.</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original cost less accumulated depreciation, amortization or impairment of the Company’s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which the holder of such class of senior security would be entitled upon the voluntary liquidation of the applicable issuer in preference to any security junior to it. The “ — ” in this column indicates that the SEC expressly does not require this information to be disclosed for certain types of securities.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to the Company’s credit facilities, 2019-1 Securitization and 2013-1 Securitization because such securities are not registered for public trading.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Federal income tax</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elected to be treated as a RIC under Subchapter M of the Code and to distribute substantially all of its taxable income. Accordingly, no provision for federal, state or local income tax has been recorded in the financial statements. Taxable income differs from net increase in net assets resulting from operations primarily due to unrealized appreciation on investments as investment gains and losses are not included in taxable income until they are realized.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net increase in net assets resulting from operations to taxable income: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resulting from operations</w:t>
      </w:r>
    </w:p>
    <w:p>
      <w:pPr>
        <w:spacing w:after="0" w:line="23" w:lineRule="exact"/>
        <w:rPr>
          <w:sz w:val="20"/>
          <w:szCs w:val="20"/>
          <w:color w:val="auto"/>
        </w:rPr>
      </w:pPr>
    </w:p>
    <w:p>
      <w:pPr>
        <w:ind w:right="2200"/>
        <w:spacing w:after="0" w:line="250" w:lineRule="auto"/>
        <w:rPr>
          <w:sz w:val="20"/>
          <w:szCs w:val="20"/>
          <w:color w:val="auto"/>
        </w:rPr>
      </w:pPr>
      <w:r>
        <w:rPr>
          <w:rFonts w:ascii="Arial" w:cs="Arial" w:eastAsia="Arial" w:hAnsi="Arial"/>
          <w:sz w:val="18"/>
          <w:szCs w:val="18"/>
          <w:color w:val="auto"/>
        </w:rPr>
        <w:t>Net unrealized (appreciation) depreciation on investments Other book-tax differences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 in capital loss carry forward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Taxable income before deductions for distributions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characters of distributions paid are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0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19,498</w:t>
            </w: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13,010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(18,485)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21,191</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-736600</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-462280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2466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center"/>
              <w:ind w:left="570"/>
              <w:spacing w:after="0"/>
              <w:rPr>
                <w:sz w:val="20"/>
                <w:szCs w:val="20"/>
                <w:color w:val="auto"/>
              </w:rPr>
            </w:pPr>
            <w:r>
              <w:rPr>
                <w:rFonts w:ascii="Arial" w:cs="Arial" w:eastAsia="Arial" w:hAnsi="Arial"/>
                <w:sz w:val="18"/>
                <w:szCs w:val="18"/>
                <w:b w:val="1"/>
                <w:bCs w:val="1"/>
                <w:color w:val="auto"/>
                <w:w w:val="89"/>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4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13,834</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Arial" w:cs="Arial" w:eastAsia="Arial" w:hAnsi="Arial"/>
                <w:sz w:val="18"/>
                <w:szCs w:val="18"/>
                <w:color w:val="auto"/>
                <w:w w:val="92"/>
              </w:rPr>
              <w:t>The components of undistributed ordinary income earnings on a tax basis were as follows:</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4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Long term capital loss carry forward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(45,230)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(41,057)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(41,702)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Unrealized depreciation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(7,717)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(39,145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excise tax on such income, as required. For the years ended December 31, 2019 and 2018, the Company elected to carry forward taxable income in excess of current year distributions of $6.5 million and $1.3 million, respectively. At December 31, 2019 and 2018, a provision for excise tax of $0.2 million and $0.03 million, respectively was recorded.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losses in excess of capital gains earned in a tax year may generally be carried forward, without expiration, and used to offset capital gains, subject to certain limitations. During the year ended December 31, 2019, the Company did not use any of its capital loss carry forward to offset capital gains. During the year ended December 31, 2018, the Company used $0.6 million of its capital loss carry forward to offset capital gains. During the year ended December 31, 2017, the Company did not use any of its capital loss carry forward to offset capital gains.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federal income tax purposes, the tax cost of investments at December 31, 2019 and 2018 was $318.8 million and $250.9 million, respectively. The gross unrealized appreciation on investments at December 31, 2019 and 2018 was $8.4 million and $5.2 million, respectively. The gross unrealized depreciation on investments at December 31, 2019 and 2018 was $7.6 million and $7.7 million,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Financial instruments with off-balance-sheet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balance of unfunded commitments to extend credit was $49.5 million and $27.5 million as of December 31, 2019 and 2018,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Company’s unfunded commitments by portfolio company as of December 31,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4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10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Unfunded</w:t>
            </w:r>
          </w:p>
        </w:tc>
      </w:tr>
      <w:tr>
        <w:trPr>
          <w:trHeight w:val="216"/>
        </w:trPr>
        <w:tc>
          <w:tcPr>
            <w:tcW w:w="48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48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48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Betabrand Corporation.</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CSA Medical, Inc.</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Espero Biopharma, Inc.</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Kate Farms, Inc.</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Kinestral Technologies, Inc.</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LogicBio Therapeutics, Inc.</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Maculogix, Inc.</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Mustang Bio, Inc.</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Revinate, Inc.</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Skillshare, Inc.</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December 31, 2019 which totaled $0.9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10.</w:t>
      </w:r>
      <w:r>
        <w:rPr>
          <w:sz w:val="20"/>
          <w:szCs w:val="20"/>
          <w:color w:val="auto"/>
        </w:rPr>
        <w:tab/>
      </w:r>
      <w:r>
        <w:rPr>
          <w:rFonts w:ascii="Arial" w:cs="Arial" w:eastAsia="Arial" w:hAnsi="Arial"/>
          <w:sz w:val="16"/>
          <w:szCs w:val="16"/>
          <w:b w:val="1"/>
          <w:bCs w:val="1"/>
          <w:color w:val="auto"/>
        </w:rPr>
        <w:t>Concentrations of credit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Company’s largest debt investments may vary from year to year as new debt investments are recorded and existing debt investments are repaid. The Company’s five largest debt investments, at cost, represented 28% and 32% of total debt investments outstanding as of December 31, 2019 and 2018, respectively. No single debt investment represented more than 10% of the total debt investments as of December 31, 2019 or 2018. Investment income, consisting of interest and fees, can fluctuate significantly upon repayment of large debt investments. Interest income from the five largest debt investments accounted for 17%, 25% and 14% of total interest and fee income on investments for the years ended December 31, 2019, 2018 and 2017, respectively.</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Distributions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years ended December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DRIP</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DRIP</w:t>
            </w:r>
          </w:p>
        </w:tc>
      </w:tr>
      <w:tr>
        <w:trPr>
          <w:trHeight w:val="216"/>
        </w:trPr>
        <w:tc>
          <w:tcPr>
            <w:tcW w:w="2520" w:type="dxa"/>
            <w:vAlign w:val="bottom"/>
          </w:tcPr>
          <w:p>
            <w:pPr>
              <w:jc w:val="right"/>
              <w:ind w:right="1130"/>
              <w:spacing w:after="0"/>
              <w:rPr>
                <w:sz w:val="20"/>
                <w:szCs w:val="20"/>
                <w:color w:val="auto"/>
              </w:rPr>
            </w:pPr>
            <w:r>
              <w:rPr>
                <w:rFonts w:ascii="Arial" w:cs="Arial" w:eastAsia="Arial" w:hAnsi="Arial"/>
                <w:sz w:val="18"/>
                <w:szCs w:val="18"/>
                <w:b w:val="1"/>
                <w:bCs w:val="1"/>
                <w:color w:val="auto"/>
              </w:rPr>
              <w:t>Date</w:t>
            </w: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2520" w:type="dxa"/>
            <w:vAlign w:val="bottom"/>
          </w:tcPr>
          <w:p>
            <w:pPr>
              <w:jc w:val="right"/>
              <w:ind w:right="950"/>
              <w:spacing w:after="0"/>
              <w:rPr>
                <w:sz w:val="20"/>
                <w:szCs w:val="20"/>
                <w:color w:val="auto"/>
              </w:rPr>
            </w:pPr>
            <w:r>
              <w:rPr>
                <w:rFonts w:ascii="Arial" w:cs="Arial" w:eastAsia="Arial" w:hAnsi="Arial"/>
                <w:sz w:val="18"/>
                <w:szCs w:val="18"/>
                <w:b w:val="1"/>
                <w:bCs w:val="1"/>
                <w:color w:val="auto"/>
              </w:rPr>
              <w:t>Declared</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Record Date</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r>
      <w:tr>
        <w:trPr>
          <w:trHeight w:val="210"/>
        </w:trPr>
        <w:tc>
          <w:tcPr>
            <w:tcW w:w="25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gridSpan w:val="9"/>
          </w:tcPr>
          <w:p>
            <w:pPr>
              <w:ind w:left="800"/>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Year Ended December 31, 2019</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10/25/19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2/19/20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3/16/20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10/25/19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1/17/20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10/25/19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12/18/19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7/26/19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7/26/19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10/18/19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11/15/19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1,442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7/26/19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9/19/19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4/26/19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8/19/19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7/18/19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4/26/19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6/19/19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7/16/19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3/1/19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4/18/19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5/15/19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3/19/19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63"/>
        </w:trPr>
        <w:tc>
          <w:tcPr>
            <w:tcW w:w="25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1.20</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15,353</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2"/>
                <w:szCs w:val="22"/>
                <w:color w:val="auto"/>
              </w:rPr>
            </w:pPr>
          </w:p>
        </w:tc>
      </w:tr>
      <w:tr>
        <w:trPr>
          <w:trHeight w:val="197"/>
        </w:trPr>
        <w:tc>
          <w:tcPr>
            <w:tcW w:w="25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88"/>
              </w:rPr>
              <w:t>Year Ended December 31, 2018</w:t>
            </w:r>
          </w:p>
        </w:tc>
        <w:tc>
          <w:tcPr>
            <w:tcW w:w="1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10/26/18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2/20/19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3/15/19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10/26/18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10/26/18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12/18/18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7/27/18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10/18/18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11/15/18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9/18/18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4/27/18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8/17/18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9/14/18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7/19/18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4/27/18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6/19/18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7/17/18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520" w:type="dxa"/>
            <w:vAlign w:val="bottom"/>
          </w:tcPr>
          <w:p>
            <w:pPr>
              <w:jc w:val="right"/>
              <w:ind w:right="130"/>
              <w:spacing w:after="0"/>
              <w:rPr>
                <w:sz w:val="20"/>
                <w:szCs w:val="20"/>
                <w:color w:val="auto"/>
              </w:rPr>
            </w:pPr>
            <w:r>
              <w:rPr>
                <w:rFonts w:ascii="Arial" w:cs="Arial" w:eastAsia="Arial" w:hAnsi="Arial"/>
                <w:sz w:val="18"/>
                <w:szCs w:val="18"/>
                <w:color w:val="auto"/>
              </w:rPr>
              <w:t>3/1/18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4/19/18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5/15/18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3/19/18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2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1.20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131</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28, 2020, the Board declared monthly distributions per share and a special distribution for April of $0.05 per share, payable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Monthly distributions</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70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100" w:type="dxa"/>
            <w:vAlign w:val="bottom"/>
          </w:tcPr>
          <w:p>
            <w:pPr>
              <w:spacing w:after="0"/>
              <w:rPr>
                <w:sz w:val="24"/>
                <w:szCs w:val="24"/>
                <w:color w:val="auto"/>
              </w:rPr>
            </w:pPr>
          </w:p>
        </w:tc>
        <w:tc>
          <w:tcPr>
            <w:tcW w:w="2700" w:type="dxa"/>
            <w:vAlign w:val="bottom"/>
          </w:tcPr>
          <w:p>
            <w:pPr>
              <w:ind w:left="86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4"/>
                <w:szCs w:val="24"/>
                <w:color w:val="auto"/>
              </w:rPr>
            </w:pPr>
          </w:p>
        </w:tc>
        <w:tc>
          <w:tcPr>
            <w:tcW w:w="2800" w:type="dxa"/>
            <w:vAlign w:val="bottom"/>
            <w:gridSpan w:val="2"/>
          </w:tcPr>
          <w:p>
            <w:pPr>
              <w:ind w:left="800"/>
              <w:spacing w:after="0"/>
              <w:rPr>
                <w:sz w:val="20"/>
                <w:szCs w:val="20"/>
                <w:color w:val="auto"/>
              </w:rPr>
            </w:pPr>
            <w:r>
              <w:rPr>
                <w:rFonts w:ascii="Arial" w:cs="Arial" w:eastAsia="Arial" w:hAnsi="Arial"/>
                <w:sz w:val="18"/>
                <w:szCs w:val="18"/>
                <w:b w:val="1"/>
                <w:bCs w:val="1"/>
                <w:color w:val="auto"/>
              </w:rPr>
              <w:t>Payment Date</w:t>
            </w:r>
          </w:p>
        </w:tc>
        <w:tc>
          <w:tcPr>
            <w:tcW w:w="160" w:type="dxa"/>
            <w:vAlign w:val="bottom"/>
          </w:tcPr>
          <w:p>
            <w:pPr>
              <w:spacing w:after="0"/>
              <w:rPr>
                <w:sz w:val="24"/>
                <w:szCs w:val="24"/>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Distributions Declared</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17, 2020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18, 2020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15, 2020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April 16, 2020</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April 17, 2020</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May 15, 2020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80" w:type="dxa"/>
            <w:vAlign w:val="bottom"/>
          </w:tcPr>
          <w:p>
            <w:pPr>
              <w:jc w:val="right"/>
              <w:ind w:right="8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May 18, 2020</w:t>
            </w: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19, 2020</w:t>
            </w:r>
          </w:p>
        </w:tc>
        <w:tc>
          <w:tcPr>
            <w:tcW w:w="2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June 16, 2020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Special distribution</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100" w:type="dxa"/>
            <w:vAlign w:val="bottom"/>
          </w:tcPr>
          <w:p>
            <w:pPr>
              <w:spacing w:after="0"/>
              <w:rPr>
                <w:sz w:val="20"/>
                <w:szCs w:val="20"/>
                <w:color w:val="auto"/>
              </w:rPr>
            </w:pPr>
          </w:p>
        </w:tc>
        <w:tc>
          <w:tcPr>
            <w:tcW w:w="2700" w:type="dxa"/>
            <w:vAlign w:val="bottom"/>
          </w:tcPr>
          <w:p>
            <w:pPr>
              <w:ind w:left="86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800" w:type="dxa"/>
            <w:vAlign w:val="bottom"/>
            <w:gridSpan w:val="2"/>
          </w:tcPr>
          <w:p>
            <w:pPr>
              <w:ind w:left="800"/>
              <w:spacing w:after="0"/>
              <w:rPr>
                <w:sz w:val="20"/>
                <w:szCs w:val="20"/>
                <w:color w:val="auto"/>
              </w:rPr>
            </w:pPr>
            <w:r>
              <w:rPr>
                <w:rFonts w:ascii="Arial" w:cs="Arial" w:eastAsia="Arial" w:hAnsi="Arial"/>
                <w:sz w:val="18"/>
                <w:szCs w:val="18"/>
                <w:b w:val="1"/>
                <w:bCs w:val="1"/>
                <w:color w:val="auto"/>
              </w:rPr>
              <w:t>Payment Date</w:t>
            </w:r>
          </w:p>
        </w:tc>
        <w:tc>
          <w:tcPr>
            <w:tcW w:w="16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Distributions Declared</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17, 2020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18, 2020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15, 2020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After paying distributions of $1.10 per share deemed paid for tax purposes in 2019, declaring on October 25, 2019 a distribution of $0.10 per share payable January 15, 2020, and taxable earnings of $1.59 per share in 2019, the Company’s undistributed spillover income as of December 31, 2019 was $0.42 per share. Spillover income includes any ordinary income and net capital gains from the preceding tax years that were not distributed during such tax years.</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Subsequent to December 31, 2019, and as of March 3, 2020, the Company sold approximately 1,198,552 shares of common stock for total accumulated net proceeds of approximately $15.1 million, net of offering expenses, under the Equity Distribution Agreement. As of March 3, 2020, shares representing approximately $10.0 million of its common stock remain available for issuance and sale under the Equity Distribution Agreement.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29, 2020, the Company received proceeds of $2.3 million in connection with the termination of its warrants in Sys-Tech Solutions,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(“Sys-Tech”) upon Sys-Tech’s sale to Dover Fluids, Inc.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12, 2020, the Company received proceeds of $0.4 million in connection with the sale of its equity investment in Revance Therapeutics, Inc.</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21, 2020, Bridge2 Solutions, LLC (“Bridge2”) prepaid its outstanding principal balance of $14.5 million on its venture loan, plus interest and end-of-term payment. On February 26, 2020, the Company received proceeds of $2.9 million in connection with the termination of its warrants in Bridge2 upon Bridge2’s sale to Intercontinental Exchange, Inc.</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26, 2020, the Company funded a $20.0 million loan to a new portfolio company, Castle Creek Biosciences, Inc., a clinical stage biopharmaceutical company developing therapies for patients with rare and debilitating dermatological conditions.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2020, the Company funded a $4.0 million loan to an existing portfolio company, CSA Medical, Inc., a developer of novel, patent-protected cryotherapy medical devices.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2020, the Company funded a $1.1 million loan to an existing portfolio company, Betabrand Corporation, a crowdfunded online clothing community that designs, manufactures, and consistently releases new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Financial highlights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671"/>
              <w:spacing w:after="0"/>
              <w:rPr>
                <w:sz w:val="20"/>
                <w:szCs w:val="20"/>
                <w:color w:val="auto"/>
              </w:rPr>
            </w:pPr>
            <w:r>
              <w:rPr>
                <w:rFonts w:ascii="Arial" w:cs="Arial" w:eastAsia="Arial" w:hAnsi="Arial"/>
                <w:sz w:val="18"/>
                <w:szCs w:val="18"/>
                <w:b w:val="1"/>
                <w:bCs w:val="1"/>
                <w:color w:val="auto"/>
                <w:w w:val="89"/>
              </w:rPr>
              <w:t>Years Ended December 31,</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8"/>
          </w:tcPr>
          <w:p>
            <w:pPr>
              <w:jc w:val="center"/>
              <w:ind w:right="3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11.72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13.85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Realized (loss) gain on investments</w:t>
            </w:r>
          </w:p>
        </w:tc>
        <w:tc>
          <w:tcPr>
            <w:tcW w:w="20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appreciation (depreciation)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82"/>
        </w:trPr>
        <w:tc>
          <w:tcPr>
            <w:tcW w:w="3700" w:type="dxa"/>
            <w:vAlign w:val="bottom"/>
          </w:tcPr>
          <w:p>
            <w:pPr>
              <w:spacing w:after="0" w:line="182" w:lineRule="exact"/>
              <w:rPr>
                <w:sz w:val="20"/>
                <w:szCs w:val="20"/>
                <w:color w:val="auto"/>
              </w:rPr>
            </w:pPr>
            <w:r>
              <w:rPr>
                <w:rFonts w:ascii="Arial" w:cs="Arial" w:eastAsia="Arial" w:hAnsi="Arial"/>
                <w:sz w:val="18"/>
                <w:szCs w:val="18"/>
                <w:color w:val="auto"/>
                <w:w w:val="99"/>
              </w:rPr>
              <w:t>Net increase (decrease) in net assets resulting</w:t>
            </w: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from operations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dilution from issuance of common stock</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7"/>
        </w:trPr>
        <w:tc>
          <w:tcPr>
            <w:tcW w:w="3700" w:type="dxa"/>
            <w:vAlign w:val="bottom"/>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2"/>
                <w:szCs w:val="22"/>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2"/>
                <w:szCs w:val="22"/>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2"/>
                <w:szCs w:val="22"/>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2"/>
                <w:szCs w:val="22"/>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net investment income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From net realized gain on investments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capital</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6"/>
              </w:rPr>
              <w:t>Net accretion from repurchase of common stock</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30"/>
                <w:szCs w:val="30"/>
                <w:color w:val="auto"/>
                <w:vertAlign w:val="superscript"/>
              </w:rPr>
              <w:t>(2)</w:t>
            </w: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market value, beginning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w:t>
            </w: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return based on a market value </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15,563,290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11,535,129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11,520,406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11,510,424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11,535,212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Ratios, net of waivers, to average net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Expenses without incentive fees</w:t>
            </w:r>
          </w:p>
        </w:tc>
        <w:tc>
          <w:tcPr>
            <w:tcW w:w="20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investment income with incentive fees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w w:val="92"/>
              </w:rPr>
              <w:t>Ratios, without waivers, to average net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3700" w:type="dxa"/>
            <w:vAlign w:val="bottom"/>
          </w:tcPr>
          <w:p>
            <w:pPr>
              <w:spacing w:after="0" w:line="269" w:lineRule="exact"/>
              <w:rPr>
                <w:sz w:val="20"/>
                <w:szCs w:val="20"/>
                <w:color w:val="auto"/>
              </w:rPr>
            </w:pPr>
            <w:r>
              <w:rPr>
                <w:rFonts w:ascii="Arial" w:cs="Arial" w:eastAsia="Arial" w:hAnsi="Arial"/>
                <w:sz w:val="18"/>
                <w:szCs w:val="18"/>
                <w:color w:val="auto"/>
              </w:rPr>
              <w:t>Incentive fees</w:t>
            </w:r>
            <w:r>
              <w:rPr>
                <w:rFonts w:ascii="Arial" w:cs="Arial" w:eastAsia="Arial" w:hAnsi="Arial"/>
                <w:sz w:val="30"/>
                <w:szCs w:val="30"/>
                <w:color w:val="auto"/>
                <w:vertAlign w:val="superscript"/>
              </w:rPr>
              <w:t>(4)</w:t>
            </w:r>
          </w:p>
        </w:tc>
        <w:tc>
          <w:tcPr>
            <w:tcW w:w="20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3"/>
                <w:szCs w:val="23"/>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3"/>
                <w:szCs w:val="23"/>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line="202" w:lineRule="exact"/>
              <w:rPr>
                <w:sz w:val="20"/>
                <w:szCs w:val="20"/>
                <w:color w:val="auto"/>
              </w:rPr>
            </w:pPr>
            <w:r>
              <w:rPr>
                <w:rFonts w:ascii="Arial" w:cs="Arial" w:eastAsia="Arial" w:hAnsi="Arial"/>
                <w:sz w:val="15"/>
                <w:szCs w:val="15"/>
                <w:color w:val="auto"/>
              </w:rPr>
              <w:t>Net expenses</w:t>
            </w:r>
            <w:r>
              <w:rPr>
                <w:rFonts w:ascii="Arial" w:cs="Arial" w:eastAsia="Arial" w:hAnsi="Arial"/>
                <w:sz w:val="23"/>
                <w:szCs w:val="23"/>
                <w:color w:val="auto"/>
                <w:vertAlign w:val="superscript"/>
              </w:rPr>
              <w:t>(4)</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right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28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81"/>
        </w:trPr>
        <w:tc>
          <w:tcPr>
            <w:tcW w:w="3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gridSpan w:val="2"/>
            <w:shd w:val="clear" w:color="auto" w:fill="CCEEFF"/>
          </w:tcPr>
          <w:p>
            <w:pPr>
              <w:jc w:val="right"/>
              <w:ind w:right="170"/>
              <w:spacing w:after="0" w:line="81" w:lineRule="exact"/>
              <w:rPr>
                <w:sz w:val="20"/>
                <w:szCs w:val="20"/>
                <w:color w:val="auto"/>
              </w:rPr>
            </w:pPr>
            <w:r>
              <w:rPr>
                <w:rFonts w:ascii="Arial" w:cs="Arial" w:eastAsia="Arial" w:hAnsi="Arial"/>
                <w:sz w:val="9"/>
                <w:szCs w:val="9"/>
                <w:color w:val="auto"/>
              </w:rPr>
              <w:t>13.7</w:t>
            </w:r>
          </w:p>
        </w:tc>
        <w:tc>
          <w:tcPr>
            <w:tcW w:w="22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26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tcBorders>
              <w:right w:val="single" w:sz="8" w:color="CCEEFF"/>
            </w:tcBorders>
            <w:gridSpan w:val="2"/>
            <w:shd w:val="clear" w:color="auto" w:fill="CCEEFF"/>
          </w:tcPr>
          <w:p>
            <w:pPr>
              <w:jc w:val="right"/>
              <w:ind w:right="170"/>
              <w:spacing w:after="0" w:line="81" w:lineRule="exact"/>
              <w:rPr>
                <w:sz w:val="20"/>
                <w:szCs w:val="20"/>
                <w:color w:val="auto"/>
              </w:rPr>
            </w:pPr>
            <w:r>
              <w:rPr>
                <w:rFonts w:ascii="Arial" w:cs="Arial" w:eastAsia="Arial" w:hAnsi="Arial"/>
                <w:sz w:val="9"/>
                <w:szCs w:val="9"/>
                <w:color w:val="auto"/>
              </w:rPr>
              <w:t>10.6</w:t>
            </w:r>
          </w:p>
        </w:tc>
        <w:tc>
          <w:tcPr>
            <w:tcW w:w="22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line="250" w:lineRule="exact"/>
              <w:rPr>
                <w:sz w:val="20"/>
                <w:szCs w:val="20"/>
                <w:color w:val="auto"/>
              </w:rPr>
            </w:pPr>
            <w:r>
              <w:rPr>
                <w:rFonts w:ascii="Arial" w:cs="Arial" w:eastAsia="Arial" w:hAnsi="Arial"/>
                <w:sz w:val="17"/>
                <w:szCs w:val="17"/>
                <w:color w:val="auto"/>
              </w:rPr>
              <w:t>Net investment income with incentive fees</w:t>
            </w:r>
            <w:r>
              <w:rPr>
                <w:rFonts w:ascii="Arial" w:cs="Arial" w:eastAsia="Arial" w:hAnsi="Arial"/>
                <w:sz w:val="28"/>
                <w:szCs w:val="28"/>
                <w:color w:val="auto"/>
                <w:vertAlign w:val="superscript"/>
              </w:rPr>
              <w:t>(4)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134,257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139,192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160,008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134,364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137,293</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150,612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157,612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0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79.4%</w:t>
            </w:r>
          </w:p>
        </w:tc>
        <w:tc>
          <w:tcPr>
            <w:tcW w:w="28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340" w:hanging="332"/>
        <w:spacing w:after="0" w:line="286"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ind w:left="34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340" w:hanging="332"/>
        <w:spacing w:after="0" w:line="261"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years ended December 31, 2019, 2018 and 2017, the Advisor waived $1.8 million, $1.2 million and $0.1 million, respectively, of incentive fee. During the year ended December 31, 2015, the Advisor waived $0.3 million of base management fee.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Note 14.  Summarized financial information for HSLFI</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91"/>
              </w:rPr>
              <w:t>Horizon Secured Loan Fund I</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6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(Dollars in thousands)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 (cost of $34,895 and $24,771, respectively)</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34,829</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 in money market funds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14,955</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Capital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Members’ capital</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members’ capital</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Total liabilities and members’ capital</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60" w:type="dxa"/>
            <w:vAlign w:val="bottom"/>
            <w:vMerge w:val="restart"/>
          </w:tcPr>
          <w:p>
            <w:pPr>
              <w:jc w:val="center"/>
              <w:ind w:left="3030"/>
              <w:spacing w:after="0"/>
              <w:rPr>
                <w:sz w:val="20"/>
                <w:szCs w:val="20"/>
                <w:color w:val="auto"/>
              </w:rPr>
            </w:pPr>
            <w:r>
              <w:rPr>
                <w:rFonts w:ascii="Arial" w:cs="Arial" w:eastAsia="Arial" w:hAnsi="Arial"/>
                <w:sz w:val="18"/>
                <w:szCs w:val="18"/>
                <w:color w:val="auto"/>
                <w:w w:val="86"/>
              </w:rPr>
              <w:t>134</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vMerge w:val="continue"/>
          </w:tcPr>
          <w:p>
            <w:pPr>
              <w:spacing w:after="0"/>
              <w:rPr>
                <w:sz w:val="24"/>
                <w:szCs w:val="24"/>
                <w:color w:val="auto"/>
              </w:rPr>
            </w:pPr>
          </w:p>
        </w:tc>
        <w:tc>
          <w:tcPr>
            <w:tcW w:w="82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6"/>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4"/>
                <w:szCs w:val="24"/>
                <w:color w:val="auto"/>
              </w:rPr>
            </w:pPr>
          </w:p>
        </w:tc>
        <w:tc>
          <w:tcPr>
            <w:tcW w:w="3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4"/>
                <w:szCs w:val="24"/>
                <w:color w:val="auto"/>
              </w:rPr>
            </w:pPr>
          </w:p>
        </w:tc>
        <w:tc>
          <w:tcPr>
            <w:tcW w:w="30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1"/>
              </w:rPr>
              <w:t>Horizon Secured Loan Fund I</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30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8"/>
              </w:rPr>
              <w:t>Statements of Operations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0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(Dollars in thousands)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the 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June 1, 2018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December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5,291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Prepayment fee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Fee income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unrealized depreciation on investments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unrealized depreciation on investments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w w:val="89"/>
              </w:rPr>
              <w:t>Net increase in net assets resulting from operations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15.  Selected quarterly financial data (unaudited)</w:t>
            </w: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89"/>
              </w:rPr>
              <w:t>(In thousands, except per share data)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12,975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6,452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8"/>
              </w:rPr>
              <w:t>Net increase in net asset resulting from operations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6,729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4,538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57"/>
        </w:trPr>
        <w:tc>
          <w:tcPr>
            <w:tcW w:w="3980" w:type="dxa"/>
            <w:vAlign w:val="bottom"/>
          </w:tcPr>
          <w:p>
            <w:pPr>
              <w:spacing w:after="0" w:line="256" w:lineRule="exact"/>
              <w:rPr>
                <w:sz w:val="20"/>
                <w:szCs w:val="20"/>
                <w:color w:val="auto"/>
              </w:rPr>
            </w:pPr>
            <w:r>
              <w:rPr>
                <w:rFonts w:ascii="Arial" w:cs="Arial" w:eastAsia="Arial" w:hAnsi="Arial"/>
                <w:sz w:val="18"/>
                <w:szCs w:val="18"/>
                <w:color w:val="auto"/>
              </w:rPr>
              <w:t xml:space="preserve">Net increase in net assets per share </w:t>
            </w:r>
            <w:r>
              <w:rPr>
                <w:rFonts w:ascii="Arial" w:cs="Arial" w:eastAsia="Arial" w:hAnsi="Arial"/>
                <w:sz w:val="29"/>
                <w:szCs w:val="29"/>
                <w:color w:val="auto"/>
                <w:vertAlign w:val="superscript"/>
              </w:rPr>
              <w:t>(1)</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89"/>
              </w:rPr>
              <w:t>(In thousands, except per share data)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3,964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8"/>
              </w:rPr>
              <w:t>Net increase in net asset resulting from operations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3,218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57"/>
        </w:trPr>
        <w:tc>
          <w:tcPr>
            <w:tcW w:w="3980" w:type="dxa"/>
            <w:vAlign w:val="bottom"/>
          </w:tcPr>
          <w:p>
            <w:pPr>
              <w:spacing w:after="0" w:line="256" w:lineRule="exact"/>
              <w:rPr>
                <w:sz w:val="20"/>
                <w:szCs w:val="20"/>
                <w:color w:val="auto"/>
              </w:rPr>
            </w:pPr>
            <w:r>
              <w:rPr>
                <w:rFonts w:ascii="Arial" w:cs="Arial" w:eastAsia="Arial" w:hAnsi="Arial"/>
                <w:sz w:val="18"/>
                <w:szCs w:val="18"/>
                <w:color w:val="auto"/>
              </w:rPr>
              <w:t xml:space="preserve">Net increase in net assets per share </w:t>
            </w:r>
            <w:r>
              <w:rPr>
                <w:rFonts w:ascii="Arial" w:cs="Arial" w:eastAsia="Arial" w:hAnsi="Arial"/>
                <w:sz w:val="29"/>
                <w:szCs w:val="29"/>
                <w:color w:val="auto"/>
                <w:vertAlign w:val="superscript"/>
              </w:rPr>
              <w:t>(1)</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weighted average shares outstanding for the respective period.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shares outstanding at the end of the respective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2019, we, including our Chief Executive Officer and Chief Financial Officer, evaluated the effectiveness of the design and operation of our disclosure controls and procedures (as defined in Rule 13a-15(e) of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Management’s Report on Internal Control Over Financial Reporting and RSM US LLP’s Report of Independent Registered Public Accounting Firm are included in “Item 8. Consolidated Financial Statements and Supplementary Data” of this Annual Report on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will file a definitive Proxy Statement for our 2020 Annual Meeting of Stockholders with the SEC, pursuant to Regulation 14A, not later than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 days after the end of our fiscal year. Accordingly, certain information required by Part III has been omitted under General Instruction G(3) to Form 10-K.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Only those sections of our definitive Proxy Statement that specifically address the items set forth herein are incorporated by reference.</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Item 10 is hereby incorporated by reference from our definitive Proxy Statement relating to our 2020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Item 11 is hereby incorporated by reference from our definitive Proxy Statement relating to our 2020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Item 12 is hereby incorporated by reference from our definitive Proxy Statement relating to our 2020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Item 13 is hereby incorporated by reference from our definitive Proxy Statement relating to our 2020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Item 14 is hereby incorporated by reference from our definitive Proxy Statement relating to our 2020 Annual Meeting of Stockholders, to be filed with the Securities and Exchange Commission not later than 120 days following the end of our fiscal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840" w:hanging="276"/>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statements — Refer to Item 8 starting on page 84.</w:t>
      </w:r>
    </w:p>
    <w:p>
      <w:pPr>
        <w:spacing w:after="0" w:line="225" w:lineRule="exact"/>
        <w:rPr>
          <w:rFonts w:ascii="Arial" w:cs="Arial" w:eastAsia="Arial" w:hAnsi="Arial"/>
          <w:sz w:val="18"/>
          <w:szCs w:val="18"/>
          <w:color w:val="auto"/>
        </w:rPr>
      </w:pPr>
    </w:p>
    <w:p>
      <w:pPr>
        <w:ind w:left="840" w:hanging="276"/>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schedules — None</w:t>
      </w:r>
    </w:p>
    <w:p>
      <w:pPr>
        <w:spacing w:after="0" w:line="225" w:lineRule="exact"/>
        <w:rPr>
          <w:rFonts w:ascii="Arial" w:cs="Arial" w:eastAsia="Arial" w:hAnsi="Arial"/>
          <w:sz w:val="18"/>
          <w:szCs w:val="18"/>
          <w:color w:val="auto"/>
        </w:rPr>
      </w:pPr>
    </w:p>
    <w:p>
      <w:pPr>
        <w:ind w:left="840" w:hanging="276"/>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80" w:type="dxa"/>
            <w:vAlign w:val="bottom"/>
            <w:gridSpan w:val="7"/>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16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320" w:type="dxa"/>
            <w:vAlign w:val="bottom"/>
            <w:tcBorders>
              <w:top w:val="single" w:sz="8" w:color="auto"/>
              <w:bottom w:val="single" w:sz="8" w:color="0000EE"/>
            </w:tcBorders>
            <w:gridSpan w:val="13"/>
          </w:tcPr>
          <w:p>
            <w:pPr>
              <w:spacing w:after="0" w:line="170"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Amended and Restated Certificate of Incorporation (Incorporated by reference to exhibit (a) of the Company’s Pre-effective Amendment No. 2</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to the Registration Statement on Form N-2, filed on July 2, 2010)</w:t>
              </w:r>
            </w:hyperlink>
          </w:p>
        </w:tc>
        <w:tc>
          <w:tcPr>
            <w:tcW w:w="5600" w:type="dxa"/>
            <w:vAlign w:val="bottom"/>
            <w:gridSpan w:val="5"/>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Amended and Restated Bylaws (Incorporated by reference to exhibit (b) of the Company’s Pre-effective Amendment No. 2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Statement on Form N-2, filed on July 2, 2010)</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Form of Specimen Certificate (Incorporated by reference to exhibit (d) of the Company’s Pre-effective Amendment No. 3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Statement on Form N-2, filed on July 19, 2010)</w:t>
              </w:r>
            </w:hyperlink>
          </w:p>
        </w:tc>
        <w:tc>
          <w:tcPr>
            <w:tcW w:w="6880" w:type="dxa"/>
            <w:vAlign w:val="bottom"/>
            <w:tcBorders>
              <w:top w:val="single" w:sz="8" w:color="0000EE"/>
            </w:tcBorders>
            <w:gridSpan w:val="7"/>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Indenture, dated as of March 23, 2012, between the Company and U.S. Bank National Association (Incorporated by reference to Exhibit (d)(7)</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r:id="rId167">
              <w:r>
                <w:rPr>
                  <w:rFonts w:ascii="Arial" w:cs="Arial" w:eastAsia="Arial" w:hAnsi="Arial"/>
                  <w:sz w:val="18"/>
                  <w:szCs w:val="18"/>
                  <w:color w:val="0000EE"/>
                  <w:w w:val="95"/>
                </w:rPr>
                <w:t>of the Company’s Post-Effective Amendment No. 2 to the Registration Statement on Form N-2, File No. 333-178516, filed on March 23,</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67">
              <w:r>
                <w:rPr>
                  <w:rFonts w:ascii="Arial" w:cs="Arial" w:eastAsia="Arial" w:hAnsi="Arial"/>
                  <w:sz w:val="18"/>
                  <w:szCs w:val="18"/>
                  <w:color w:val="0000EE"/>
                  <w:w w:val="86"/>
                </w:rPr>
                <w:t>2012)</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Second Supplemental Indenture, dated as of September 29, 2017, between the Company and U.S. Bank National Association (Incorporated by</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reference to Exhibit (d)(12) of the Company’s Post-Effective Amendment No. 5 to the Registration Statement on Form N-2, File No. 333-</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201886, filed on September 29, 2017)</w:t>
              </w:r>
            </w:hyperlink>
          </w:p>
        </w:tc>
        <w:tc>
          <w:tcPr>
            <w:tcW w:w="7580" w:type="dxa"/>
            <w:vAlign w:val="bottom"/>
            <w:gridSpan w:val="9"/>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6.25% 2022 Notes due 2022 (included as part of Exhibit 4.3)</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4.</w:t>
              </w:r>
              <w:r>
                <w:rPr>
                  <w:rFonts w:ascii="Arial" w:cs="Arial" w:eastAsia="Arial" w:hAnsi="Arial"/>
                  <w:sz w:val="18"/>
                  <w:szCs w:val="18"/>
                  <w:u w:val="single" w:color="auto"/>
                  <w:color w:val="0000EE"/>
                  <w:w w:val="93"/>
                </w:rPr>
                <w:t>5*</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Description of Securities</w:t>
              </w:r>
            </w:hyperlink>
          </w:p>
        </w:tc>
        <w:tc>
          <w:tcPr>
            <w:tcW w:w="8520" w:type="dxa"/>
            <w:vAlign w:val="bottom"/>
            <w:gridSpan w:val="10"/>
          </w:tcPr>
          <w:p>
            <w:pPr>
              <w:spacing w:after="0"/>
              <w:rPr>
                <w:sz w:val="24"/>
                <w:szCs w:val="24"/>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6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Investment Management Agreement (Incorporated by reference to Exhibit 10.1 of the Company’s Current Report on Form 8-K, filed on March</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8, 2019)</w:t>
              </w:r>
            </w:hyperlink>
          </w:p>
        </w:tc>
        <w:tc>
          <w:tcPr>
            <w:tcW w:w="9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Form of Custodial Agreement (Incorporated by reference to exhibit (j) of the Company’s Pre-effective Amendment No. 3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Statement on Form N-2, filed on July 19, 2010)</w:t>
              </w:r>
            </w:hyperlink>
          </w:p>
        </w:tc>
        <w:tc>
          <w:tcPr>
            <w:tcW w:w="6880" w:type="dxa"/>
            <w:vAlign w:val="bottom"/>
            <w:tcBorders>
              <w:top w:val="single" w:sz="8" w:color="0000EE"/>
            </w:tcBorders>
            <w:gridSpan w:val="7"/>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6"/>
              </w:rPr>
            </w:pPr>
            <w:hyperlink r:id="rId171">
              <w:r>
                <w:rPr>
                  <w:rFonts w:ascii="Arial" w:cs="Arial" w:eastAsia="Arial" w:hAnsi="Arial"/>
                  <w:sz w:val="18"/>
                  <w:szCs w:val="18"/>
                  <w:color w:val="0000EE"/>
                  <w:w w:val="96"/>
                </w:rPr>
                <w:t>Form of Administration Agreement (Incorporated by reference to exhibit (k)(1) of the Company’s Pre-effective Amendment No. 2 to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Registration Statement on Form N-2, filed on July 2, 2010)</w:t>
              </w:r>
            </w:hyperlink>
          </w:p>
        </w:tc>
      </w:tr>
      <w:tr>
        <w:trPr>
          <w:trHeight w:val="20"/>
        </w:trPr>
        <w:tc>
          <w:tcPr>
            <w:tcW w:w="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7"/>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Form of Trademark License Agreement by and between the Company and Horizon Technology Finance Management, LLC (Incorporated by</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reference to exhibit (k)(2) of the Company’s Pre-effective Amendment No. 2 to the Registration Statement on Form N-2, filed on July 2, 2010)</w:t>
              </w:r>
            </w:hyperlink>
          </w:p>
        </w:tc>
      </w:tr>
      <w:tr>
        <w:trPr>
          <w:trHeight w:val="20"/>
        </w:trPr>
        <w:tc>
          <w:tcPr>
            <w:tcW w:w="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80" w:type="dxa"/>
            <w:vAlign w:val="bottom"/>
            <w:gridSpan w:val="10"/>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6"/>
              </w:rPr>
            </w:pPr>
            <w:hyperlink r:id="rId173">
              <w:r>
                <w:rPr>
                  <w:rFonts w:ascii="Arial" w:cs="Arial" w:eastAsia="Arial" w:hAnsi="Arial"/>
                  <w:sz w:val="18"/>
                  <w:szCs w:val="18"/>
                  <w:color w:val="0000EE"/>
                  <w:w w:val="96"/>
                </w:rPr>
                <w:t>Form of Dividend Reinvestment Plan (Incorporated by reference to exhibit (e) of the Company’s Pre-effective Amendment No. 2 to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Registration Statement on Form N-2, filed on July 2, 2010)</w:t>
              </w:r>
            </w:hyperlink>
          </w:p>
        </w:tc>
      </w:tr>
      <w:tr>
        <w:trPr>
          <w:trHeight w:val="20"/>
        </w:trPr>
        <w:tc>
          <w:tcPr>
            <w:tcW w:w="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7"/>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Amended and Restated Loan and Security Agreement, dated as of November 4, 2013, by and among Horizon Credit II LLC, as the borrower,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the Lenders that are signatories thereto, as the lenders, and Key Equipment Finance Inc., as the arranger and the agent (Incorporated by</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reference to Exhibit 10.14 of the Company’s Annual Report on Form 10-K, filed on March 11, 2014)</w:t>
              </w:r>
            </w:hyperlink>
          </w:p>
        </w:tc>
        <w:tc>
          <w:tcPr>
            <w:tcW w:w="3040" w:type="dxa"/>
            <w:vAlign w:val="bottom"/>
            <w:gridSpan w:val="3"/>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Amendment No. 1 to Amended and Restated Loan Agreement, dated as of August 12, 2015, by and among Horizon Credit II LLC, as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borrower, Alostar Bank of Commerce, as lender, and KeyBank National Association, as lender, arranger and agent (Incorporated by reference</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7"/>
              </w:rPr>
            </w:pPr>
            <w:hyperlink r:id="rId175">
              <w:r>
                <w:rPr>
                  <w:rFonts w:ascii="Arial" w:cs="Arial" w:eastAsia="Arial" w:hAnsi="Arial"/>
                  <w:sz w:val="18"/>
                  <w:szCs w:val="18"/>
                  <w:color w:val="0000EE"/>
                  <w:w w:val="97"/>
                </w:rPr>
                <w:t>to Exhibit (k)(13) of Pre-effective Amendment No. 3 to the Company’s Registration Statement on Form N-2, filed on August 19, 2015)</w:t>
              </w:r>
            </w:hyperlink>
          </w:p>
        </w:tc>
      </w:tr>
      <w:tr>
        <w:trPr>
          <w:trHeight w:val="66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gridSpan w:val="9"/>
          </w:tcPr>
          <w:p>
            <w:pPr>
              <w:ind w:left="4480"/>
              <w:spacing w:after="0"/>
              <w:rPr>
                <w:sz w:val="20"/>
                <w:szCs w:val="20"/>
                <w:color w:val="auto"/>
              </w:rPr>
            </w:pPr>
            <w:r>
              <w:rPr>
                <w:rFonts w:ascii="Arial" w:cs="Arial" w:eastAsia="Arial" w:hAnsi="Arial"/>
                <w:sz w:val="18"/>
                <w:szCs w:val="18"/>
                <w:color w:val="auto"/>
              </w:rPr>
              <w:t>138</w:t>
            </w:r>
          </w:p>
        </w:tc>
        <w:tc>
          <w:tcPr>
            <w:tcW w:w="2260" w:type="dxa"/>
            <w:vAlign w:val="bottom"/>
            <w:tcBorders>
              <w:top w:val="single" w:sz="8" w:color="0000EE"/>
              <w:bottom w:val="single" w:sz="8" w:color="auto"/>
            </w:tcBorders>
          </w:tcPr>
          <w:p>
            <w:pPr>
              <w:spacing w:after="0"/>
              <w:rPr>
                <w:sz w:val="24"/>
                <w:szCs w:val="24"/>
                <w:color w:val="auto"/>
              </w:rPr>
            </w:pPr>
          </w:p>
        </w:tc>
        <w:tc>
          <w:tcPr>
            <w:tcW w:w="248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Amended and Restated Sale and Servicing Agreement, dated as of November 4, 2013, by and among Horizon Credit II LLC, as the buyer,</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r:id="rId176">
              <w:r>
                <w:rPr>
                  <w:rFonts w:ascii="Arial" w:cs="Arial" w:eastAsia="Arial" w:hAnsi="Arial"/>
                  <w:sz w:val="18"/>
                  <w:szCs w:val="18"/>
                  <w:color w:val="0000EE"/>
                  <w:w w:val="94"/>
                </w:rPr>
                <w:t>Horizon Technology Finance Corporation, as the originator and the servicer, Horizon Technology Finance Management LLC, as the sub-</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76">
              <w:r>
                <w:rPr>
                  <w:rFonts w:ascii="Arial" w:cs="Arial" w:eastAsia="Arial" w:hAnsi="Arial"/>
                  <w:sz w:val="18"/>
                  <w:szCs w:val="18"/>
                  <w:color w:val="0000EE"/>
                  <w:w w:val="94"/>
                </w:rPr>
                <w:t>servicer, U.S. Bank National Association, as the collateral custodian and backup servicer, and Key Equipment Finance Inc., as the agent</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(Incorporated by reference to Exhibit 10.15 of the Company’s Annual Report on Form 10-K, filed on March 11, 2014)</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320" w:type="dxa"/>
            <w:vAlign w:val="bottom"/>
            <w:gridSpan w:val="15"/>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Agreement Regarding Loan Assignment and Related Matters, dated as of November 4, 2013, by and among Horizon Credit II LLC, Wells</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Fargo Capital Finance, LLC and Key Equipment Finance Inc. (Incorporated by reference to Exhibit 10.16 of the Company’s Annual Report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Form 10-K, filed on March 11, 2014)</w:t>
              </w:r>
            </w:hyperlink>
          </w:p>
        </w:tc>
        <w:tc>
          <w:tcPr>
            <w:tcW w:w="7620" w:type="dxa"/>
            <w:vAlign w:val="bottom"/>
            <w:gridSpan w:val="10"/>
          </w:tcPr>
          <w:p>
            <w:pPr>
              <w:spacing w:after="0"/>
              <w:rPr>
                <w:sz w:val="17"/>
                <w:szCs w:val="17"/>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320" w:type="dxa"/>
            <w:vAlign w:val="bottom"/>
            <w:gridSpan w:val="15"/>
          </w:tcPr>
          <w:p>
            <w:pPr>
              <w:spacing w:after="0"/>
              <w:rPr>
                <w:rFonts w:ascii="Arial" w:cs="Arial" w:eastAsia="Arial" w:hAnsi="Arial"/>
                <w:sz w:val="18"/>
                <w:szCs w:val="18"/>
                <w:color w:val="0000EE"/>
                <w:w w:val="97"/>
              </w:rPr>
            </w:pPr>
            <w:hyperlink r:id="rId178">
              <w:r>
                <w:rPr>
                  <w:rFonts w:ascii="Arial" w:cs="Arial" w:eastAsia="Arial" w:hAnsi="Arial"/>
                  <w:sz w:val="18"/>
                  <w:szCs w:val="18"/>
                  <w:color w:val="0000EE"/>
                  <w:w w:val="97"/>
                </w:rPr>
                <w:t>Joinder Agreement, dated April 27, 2016, by and among MUFG Union Bank, N.A., as lender, KeyBank National Association as agent,</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Horizon Credit II LLC, as borrower, and the Company, as servicer (Incorporated by reference to Exhibit (k)(11) to the Post-Effective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Amendment No. 2 to the Company’s Registration Statement on Form N-2, File No. 333-201886, filed on June 10, 2016)</w:t>
              </w:r>
            </w:hyperlink>
          </w:p>
        </w:tc>
        <w:tc>
          <w:tcPr>
            <w:tcW w:w="1640" w:type="dxa"/>
            <w:vAlign w:val="bottom"/>
            <w:gridSpan w:val="3"/>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17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80" w:type="dxa"/>
            <w:vAlign w:val="bottom"/>
          </w:tcPr>
          <w:p>
            <w:pPr>
              <w:spacing w:after="0"/>
              <w:rPr>
                <w:sz w:val="24"/>
                <w:szCs w:val="24"/>
                <w:color w:val="auto"/>
              </w:rPr>
            </w:pPr>
          </w:p>
        </w:tc>
        <w:tc>
          <w:tcPr>
            <w:tcW w:w="10320" w:type="dxa"/>
            <w:vAlign w:val="bottom"/>
            <w:gridSpan w:val="15"/>
          </w:tcPr>
          <w:p>
            <w:pPr>
              <w:spacing w:after="0"/>
              <w:rPr>
                <w:rFonts w:ascii="Arial" w:cs="Arial" w:eastAsia="Arial" w:hAnsi="Arial"/>
                <w:sz w:val="18"/>
                <w:szCs w:val="18"/>
                <w:color w:val="0000EE"/>
                <w:w w:val="97"/>
              </w:rPr>
            </w:pPr>
            <w:hyperlink r:id="rId179">
              <w:r>
                <w:rPr>
                  <w:rFonts w:ascii="Arial" w:cs="Arial" w:eastAsia="Arial" w:hAnsi="Arial"/>
                  <w:sz w:val="18"/>
                  <w:szCs w:val="18"/>
                  <w:color w:val="0000EE"/>
                  <w:w w:val="97"/>
                </w:rPr>
                <w:t>Amendment No. 2 to Amended and Restated Loan Agreement, dated as of April 6, 2018, by and among Horizon Credit II LLC, as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r:id="rId179">
              <w:r>
                <w:rPr>
                  <w:rFonts w:ascii="Arial" w:cs="Arial" w:eastAsia="Arial" w:hAnsi="Arial"/>
                  <w:sz w:val="18"/>
                  <w:szCs w:val="18"/>
                  <w:color w:val="0000EE"/>
                  <w:w w:val="95"/>
                </w:rPr>
                <w:t>borrower, State Bank and Trust Company (successor by merger to AloStar Bank of Commerce), as lender, MUFG Union Bank, N.A., as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lender, and KeyBank National Association (successor by merger to Key Equipment Finance Inc.) as lender, arranger, and agent (Incorporated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by reference to Exhibit 10.01 of the Quarterly Report on Form 10-Q of the Company, filed on May 1, 2018)</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320" w:type="dxa"/>
            <w:vAlign w:val="bottom"/>
            <w:gridSpan w:val="15"/>
          </w:tcPr>
          <w:p>
            <w:pPr>
              <w:spacing w:after="0"/>
              <w:rPr>
                <w:rFonts w:ascii="Arial" w:cs="Arial" w:eastAsia="Arial" w:hAnsi="Arial"/>
                <w:sz w:val="18"/>
                <w:szCs w:val="18"/>
                <w:color w:val="0000EE"/>
                <w:w w:val="94"/>
              </w:rPr>
            </w:pPr>
            <w:hyperlink r:id="rId180">
              <w:r>
                <w:rPr>
                  <w:rFonts w:ascii="Arial" w:cs="Arial" w:eastAsia="Arial" w:hAnsi="Arial"/>
                  <w:sz w:val="18"/>
                  <w:szCs w:val="18"/>
                  <w:color w:val="0000EE"/>
                  <w:w w:val="94"/>
                </w:rPr>
                <w:t>Horizon Secured Loan Fund I Limited Liability Company Agreement dated June 1, 2018, by and between the Company and Arena Sunset</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180">
              <w:r>
                <w:rPr>
                  <w:rFonts w:ascii="Arial" w:cs="Arial" w:eastAsia="Arial" w:hAnsi="Arial"/>
                  <w:sz w:val="18"/>
                  <w:szCs w:val="18"/>
                  <w:color w:val="0000EE"/>
                  <w:w w:val="93"/>
                </w:rPr>
                <w:t>SPV, LLC (Incorporated by reference to Exhibit (k)(9) to the Company’s Registration Statement on Form N-2, File No. 333-225698,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June 18, 2018)</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1">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320" w:type="dxa"/>
            <w:vAlign w:val="bottom"/>
            <w:gridSpan w:val="15"/>
          </w:tcPr>
          <w:p>
            <w:pPr>
              <w:spacing w:after="0"/>
              <w:rPr>
                <w:rFonts w:ascii="Arial" w:cs="Arial" w:eastAsia="Arial" w:hAnsi="Arial"/>
                <w:sz w:val="18"/>
                <w:szCs w:val="18"/>
                <w:color w:val="0000EE"/>
                <w:w w:val="92"/>
              </w:rPr>
            </w:pPr>
            <w:hyperlink r:id="rId181">
              <w:r>
                <w:rPr>
                  <w:rFonts w:ascii="Arial" w:cs="Arial" w:eastAsia="Arial" w:hAnsi="Arial"/>
                  <w:sz w:val="18"/>
                  <w:szCs w:val="18"/>
                  <w:color w:val="0000EE"/>
                  <w:w w:val="92"/>
                </w:rPr>
                <w:t>Amendment No. 3 to Amended and Restated Loan Agreement, dated as of December 28, 2018, by and among Horizon Credit II LLC, as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r:id="rId181">
              <w:r>
                <w:rPr>
                  <w:rFonts w:ascii="Arial" w:cs="Arial" w:eastAsia="Arial" w:hAnsi="Arial"/>
                  <w:sz w:val="18"/>
                  <w:szCs w:val="18"/>
                  <w:color w:val="0000EE"/>
                  <w:w w:val="95"/>
                </w:rPr>
                <w:t>borrower, State Bank and Trust Company (successor by merger to AloStar Bank of Commerce), as lender, MUFG Union Bank, N.A., as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lender, and KeyBank National Association (successor by merger to Key Equipment Finance Inc.) as lender, arranger, and agent (Incorporated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by reference to Exhibit 10.13 of the Company’s Annual Report on Form 10-K, filed on March 5, 2019)</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2">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320" w:type="dxa"/>
            <w:vAlign w:val="bottom"/>
            <w:gridSpan w:val="15"/>
          </w:tcPr>
          <w:p>
            <w:pPr>
              <w:spacing w:after="0"/>
              <w:rPr>
                <w:rFonts w:ascii="Arial" w:cs="Arial" w:eastAsia="Arial" w:hAnsi="Arial"/>
                <w:sz w:val="18"/>
                <w:szCs w:val="18"/>
                <w:color w:val="0000EE"/>
                <w:w w:val="94"/>
              </w:rPr>
            </w:pPr>
            <w:hyperlink r:id="rId182">
              <w:r>
                <w:rPr>
                  <w:rFonts w:ascii="Arial" w:cs="Arial" w:eastAsia="Arial" w:hAnsi="Arial"/>
                  <w:sz w:val="18"/>
                  <w:szCs w:val="18"/>
                  <w:color w:val="0000EE"/>
                  <w:w w:val="94"/>
                </w:rPr>
                <w:t>Underwriting Agreement, dated as of March 21, 2019, by and among the Company, Horizon Technology Finance Management LLC,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Morgan Stanley &amp; Co. LLC, as representative of the several underwriters named therein (Incorporated by reference to Exhibit (h)(3) of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Company’s Post-Effective Amendment No. 1, filed on March 26, 2019)</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320" w:type="dxa"/>
            <w:vAlign w:val="bottom"/>
            <w:gridSpan w:val="15"/>
          </w:tcPr>
          <w:p>
            <w:pPr>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Equity Distribution Agreement, dated as of August 2, 2019, by and among the Company, Horizon Technology Management LLC, Goldman</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r:id="rId183">
              <w:r>
                <w:rPr>
                  <w:rFonts w:ascii="Arial" w:cs="Arial" w:eastAsia="Arial" w:hAnsi="Arial"/>
                  <w:sz w:val="18"/>
                  <w:szCs w:val="18"/>
                  <w:color w:val="0000EE"/>
                  <w:w w:val="94"/>
                </w:rPr>
                <w:t>Sachs &amp; Co. LLC and B. Riley FBR, Inc. (Incorporated by reference to Exhibit 1.1 of the Company’s Current Report on Form 8-K,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August 2, 2019)</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320" w:type="dxa"/>
            <w:vAlign w:val="bottom"/>
            <w:gridSpan w:val="15"/>
          </w:tcPr>
          <w:p>
            <w:pPr>
              <w:spacing w:after="0"/>
              <w:rPr>
                <w:rFonts w:ascii="Arial" w:cs="Arial" w:eastAsia="Arial" w:hAnsi="Arial"/>
                <w:sz w:val="18"/>
                <w:szCs w:val="18"/>
                <w:color w:val="0000EE"/>
                <w:w w:val="95"/>
              </w:rPr>
            </w:pPr>
            <w:hyperlink r:id="rId184">
              <w:r>
                <w:rPr>
                  <w:rFonts w:ascii="Arial" w:cs="Arial" w:eastAsia="Arial" w:hAnsi="Arial"/>
                  <w:sz w:val="18"/>
                  <w:szCs w:val="18"/>
                  <w:color w:val="0000EE"/>
                  <w:w w:val="95"/>
                </w:rPr>
                <w:t>Note Purchase Agreement, dated as of August 6, 2019, by and among the Company, Horizon Funding Trust 2019-1, the Issuer, Horizon</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Funding 2019-1 LLC, the Trust Depositor, and KeyBanc Capital Markets Inc., as Initial Purchaser (Incorporated by reference to Exhibit 10.1</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of the Company’s Current Report on Form 8-K, filed on August 13, 2019)</w:t>
              </w:r>
            </w:hyperlink>
          </w:p>
        </w:tc>
      </w:tr>
      <w:tr>
        <w:trPr>
          <w:trHeight w:val="20"/>
        </w:trPr>
        <w:tc>
          <w:tcPr>
            <w:tcW w:w="110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320" w:type="dxa"/>
            <w:vAlign w:val="bottom"/>
            <w:gridSpan w:val="15"/>
          </w:tcPr>
          <w:p>
            <w:pPr>
              <w:spacing w:after="0"/>
              <w:rPr>
                <w:rFonts w:ascii="Arial" w:cs="Arial" w:eastAsia="Arial" w:hAnsi="Arial"/>
                <w:sz w:val="18"/>
                <w:szCs w:val="18"/>
                <w:color w:val="0000EE"/>
                <w:w w:val="92"/>
              </w:rPr>
            </w:pPr>
            <w:hyperlink r:id="rId185">
              <w:r>
                <w:rPr>
                  <w:rFonts w:ascii="Arial" w:cs="Arial" w:eastAsia="Arial" w:hAnsi="Arial"/>
                  <w:sz w:val="18"/>
                  <w:szCs w:val="18"/>
                  <w:color w:val="0000EE"/>
                  <w:w w:val="92"/>
                </w:rPr>
                <w:t>Indenture, dated as of August 13, 2019, by and between Horizon Funding Trust 2019-1, as the Issuer, and US Bank National Association,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the Trustee (Incorporated by reference to Exhibit 10.2 of the Company’s Current Report on Form 8-K, filed on August 13, 2019).</w:t>
              </w:r>
            </w:hyperlink>
          </w:p>
        </w:tc>
        <w:tc>
          <w:tcPr>
            <w:tcW w:w="1000" w:type="dxa"/>
            <w:vAlign w:val="bottom"/>
            <w:tcBorders>
              <w:top w:val="single" w:sz="8" w:color="0000EE"/>
            </w:tcBorders>
            <w:gridSpan w:val="2"/>
          </w:tcPr>
          <w:p>
            <w:pPr>
              <w:spacing w:after="0"/>
              <w:rPr>
                <w:sz w:val="17"/>
                <w:szCs w:val="17"/>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320" w:type="dxa"/>
            <w:vAlign w:val="bottom"/>
            <w:gridSpan w:val="15"/>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Sale and Contribution Agreement, dated as of August 13, 2019, by and between the Company, as the Seller, and Horizon Funding 2019-1</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r:id="rId186">
              <w:r>
                <w:rPr>
                  <w:rFonts w:ascii="Arial" w:cs="Arial" w:eastAsia="Arial" w:hAnsi="Arial"/>
                  <w:sz w:val="18"/>
                  <w:szCs w:val="18"/>
                  <w:color w:val="0000EE"/>
                  <w:w w:val="94"/>
                </w:rPr>
                <w:t>LLC, as the Trust Depositor (Incorporated by reference to Exhibit 10.3 of the Company’s Current Report on Form 8-K, filed on August 13,</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86">
              <w:r>
                <w:rPr>
                  <w:rFonts w:ascii="Arial" w:cs="Arial" w:eastAsia="Arial" w:hAnsi="Arial"/>
                  <w:sz w:val="18"/>
                  <w:szCs w:val="18"/>
                  <w:color w:val="0000EE"/>
                  <w:w w:val="86"/>
                </w:rPr>
                <w:t>2019).</w:t>
              </w:r>
            </w:hyperlink>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7">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320" w:type="dxa"/>
            <w:vAlign w:val="bottom"/>
            <w:gridSpan w:val="15"/>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Sale and Servicing Agreement, dated as of August 13, 2019, by and among the Company, as the Seller and as the Servicer, Horizon Funding</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Trust 2019-1, as the Issuer, Horizon Funding 2019-1 LLC, as the Trust Depositor, and US Bank National Association, as the Trustee, Backup</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87">
              <w:r>
                <w:rPr>
                  <w:rFonts w:ascii="Arial" w:cs="Arial" w:eastAsia="Arial" w:hAnsi="Arial"/>
                  <w:sz w:val="18"/>
                  <w:szCs w:val="18"/>
                  <w:color w:val="0000EE"/>
                  <w:w w:val="93"/>
                </w:rPr>
                <w:t>Servicer, Custodian and Securities Intermediary (Incorporated by reference to Exhibit 10.4 of the Company’s Current Report on Form 8-K,</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filed on August 13, 2019).</w:t>
              </w:r>
            </w:hyperlink>
          </w:p>
        </w:tc>
      </w:tr>
      <w:tr>
        <w:trPr>
          <w:trHeight w:val="20"/>
        </w:trPr>
        <w:tc>
          <w:tcPr>
            <w:tcW w:w="1100" w:type="dxa"/>
            <w:vAlign w:val="bottom"/>
            <w:gridSpan w:val="4"/>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color w:val="0000EE"/>
              </w:rPr>
            </w:pPr>
            <w:hyperlink r:id="rId188">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320" w:type="dxa"/>
            <w:vAlign w:val="bottom"/>
            <w:gridSpan w:val="15"/>
          </w:tcPr>
          <w:p>
            <w:pPr>
              <w:spacing w:after="0"/>
              <w:rPr>
                <w:rFonts w:ascii="Arial" w:cs="Arial" w:eastAsia="Arial" w:hAnsi="Arial"/>
                <w:sz w:val="18"/>
                <w:szCs w:val="18"/>
                <w:color w:val="0000EE"/>
                <w:w w:val="93"/>
              </w:rPr>
            </w:pPr>
            <w:hyperlink r:id="rId188">
              <w:r>
                <w:rPr>
                  <w:rFonts w:ascii="Arial" w:cs="Arial" w:eastAsia="Arial" w:hAnsi="Arial"/>
                  <w:sz w:val="18"/>
                  <w:szCs w:val="18"/>
                  <w:color w:val="0000EE"/>
                  <w:w w:val="93"/>
                </w:rPr>
                <w:t>Administration Agreement, dated as of August 13, 2019, among Horizon Funding Trust 2019-1, as Issuer, the Company, as Administrator,</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r:id="rId188">
              <w:r>
                <w:rPr>
                  <w:rFonts w:ascii="Arial" w:cs="Arial" w:eastAsia="Arial" w:hAnsi="Arial"/>
                  <w:sz w:val="18"/>
                  <w:szCs w:val="18"/>
                  <w:color w:val="0000EE"/>
                  <w:w w:val="95"/>
                </w:rPr>
                <w:t>Wilmington Trust, National Association, as Owner Trustee, and US Bank National Association, as Trustee (Incorporated by reference to</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Exhibit 10.5 of the Company’s Current Report on Form 8-K, filed on August 13, 2019).</w:t>
              </w:r>
            </w:hyperlink>
          </w:p>
        </w:tc>
      </w:tr>
      <w:tr>
        <w:trPr>
          <w:trHeight w:val="669"/>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160" w:type="dxa"/>
            <w:vAlign w:val="bottom"/>
            <w:tcBorders>
              <w:top w:val="single" w:sz="8" w:color="0000EE"/>
              <w:bottom w:val="single" w:sz="8" w:color="auto"/>
            </w:tcBorders>
            <w:gridSpan w:val="6"/>
          </w:tcPr>
          <w:p>
            <w:pPr>
              <w:ind w:left="4480"/>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gridSpan w:val="4"/>
          </w:tcPr>
          <w:p>
            <w:pPr>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680" w:type="dxa"/>
            <w:vAlign w:val="bottom"/>
          </w:tcPr>
          <w:p>
            <w:pPr>
              <w:spacing w:after="0"/>
              <w:rPr>
                <w:sz w:val="17"/>
                <w:szCs w:val="17"/>
                <w:color w:val="auto"/>
              </w:rPr>
            </w:pPr>
          </w:p>
        </w:tc>
        <w:tc>
          <w:tcPr>
            <w:tcW w:w="10320" w:type="dxa"/>
            <w:vAlign w:val="bottom"/>
            <w:tcBorders>
              <w:bottom w:val="single" w:sz="8" w:color="0000EE"/>
            </w:tcBorders>
            <w:gridSpan w:val="9"/>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Amended and Restated Trust Agreement, dated as of August 13, 2019, Horizon Funding 2019-1 LLC, as the Trust Depositor, and Wilmington</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Trust, National Association, as the Owner Trustee (Incorporated by reference to Exhibit 10.6 of the Company’s Current Report on Form 8-K,</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9"/>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filed on August 13, 2019).</w:t>
              </w:r>
            </w:hyperlink>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420" w:type="dxa"/>
            <w:vAlign w:val="bottom"/>
            <w:gridSpan w:val="4"/>
          </w:tcPr>
          <w:p>
            <w:pPr>
              <w:spacing w:after="0"/>
              <w:rPr>
                <w:rFonts w:ascii="Arial" w:cs="Arial" w:eastAsia="Arial" w:hAnsi="Arial"/>
                <w:sz w:val="18"/>
                <w:szCs w:val="18"/>
                <w:color w:val="0000EE"/>
              </w:rPr>
            </w:pPr>
            <w:hyperlink r:id="rId190">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68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Code of Ethics of the Company (Incorporated by reference to Exhibit 14.1 of the Company’s Annual Report on Form 10-K, filed on March 7,</w:t>
              </w:r>
            </w:hyperlink>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0">
              <w:r>
                <w:rPr>
                  <w:rFonts w:ascii="Arial" w:cs="Arial" w:eastAsia="Arial" w:hAnsi="Arial"/>
                  <w:sz w:val="18"/>
                  <w:szCs w:val="18"/>
                  <w:color w:val="0000EE"/>
                  <w:w w:val="86"/>
                </w:rPr>
                <w:t>2017)</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r>
      <w:tr>
        <w:trPr>
          <w:trHeight w:val="412"/>
        </w:trPr>
        <w:tc>
          <w:tcPr>
            <w:tcW w:w="280" w:type="dxa"/>
            <w:vAlign w:val="bottom"/>
            <w:gridSpan w:val="2"/>
          </w:tcPr>
          <w:p>
            <w:pP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21*</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List of Subsidiaries</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24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Power of Attorney (included on signature page hereto)</w:t>
              </w:r>
            </w:hyperlink>
          </w:p>
        </w:tc>
        <w:tc>
          <w:tcPr>
            <w:tcW w:w="6380" w:type="dxa"/>
            <w:vAlign w:val="bottom"/>
            <w:gridSpan w:val="3"/>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59">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680" w:type="dxa"/>
            <w:vAlign w:val="bottom"/>
          </w:tcPr>
          <w:p>
            <w:pPr>
              <w:spacing w:after="0"/>
              <w:rPr>
                <w:sz w:val="24"/>
                <w:szCs w:val="24"/>
                <w:color w:val="auto"/>
              </w:rPr>
            </w:pPr>
          </w:p>
        </w:tc>
        <w:tc>
          <w:tcPr>
            <w:tcW w:w="7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Certificate of the Principal Executive Officer Pursuant to Exchange Act Rule 13a-14(a) and 15d-14(a)</w:t>
              </w:r>
            </w:hyperlink>
          </w:p>
        </w:tc>
        <w:tc>
          <w:tcPr>
            <w:tcW w:w="2960" w:type="dxa"/>
            <w:vAlign w:val="bottom"/>
            <w:gridSpan w:val="2"/>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680" w:type="dxa"/>
            <w:vAlign w:val="bottom"/>
          </w:tcPr>
          <w:p>
            <w:pPr>
              <w:spacing w:after="0"/>
              <w:rPr>
                <w:sz w:val="24"/>
                <w:szCs w:val="24"/>
                <w:color w:val="auto"/>
              </w:rPr>
            </w:pPr>
          </w:p>
        </w:tc>
        <w:tc>
          <w:tcPr>
            <w:tcW w:w="85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60">
              <w:r>
                <w:rPr>
                  <w:rFonts w:ascii="Arial" w:cs="Arial" w:eastAsia="Arial" w:hAnsi="Arial"/>
                  <w:sz w:val="18"/>
                  <w:szCs w:val="18"/>
                  <w:color w:val="0000EE"/>
                  <w:w w:val="91"/>
                </w:rPr>
                <w:t>Certificate of the Principal Financial and Accounting Officer Pursuant to Exchange Act Rule 13a-14(a) and 15d-14(a)</w:t>
              </w:r>
            </w:hyperlink>
          </w:p>
        </w:tc>
        <w:tc>
          <w:tcPr>
            <w:tcW w:w="1820" w:type="dxa"/>
            <w:vAlign w:val="bottom"/>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680" w:type="dxa"/>
            <w:vAlign w:val="bottom"/>
          </w:tcPr>
          <w:p>
            <w:pPr>
              <w:spacing w:after="0"/>
              <w:rPr>
                <w:sz w:val="24"/>
                <w:szCs w:val="24"/>
                <w:color w:val="auto"/>
              </w:rPr>
            </w:pPr>
          </w:p>
        </w:tc>
        <w:tc>
          <w:tcPr>
            <w:tcW w:w="103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Certification of the Chief Executive Officer pursuant to 18 U.S.C. Section 1350, as adopted pursuant to Section 906 of the Sarbanes-Oxley Act</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61">
              <w:r>
                <w:rPr>
                  <w:rFonts w:ascii="Arial" w:cs="Arial" w:eastAsia="Arial" w:hAnsi="Arial"/>
                  <w:sz w:val="18"/>
                  <w:szCs w:val="18"/>
                  <w:color w:val="0000EE"/>
                  <w:w w:val="93"/>
                </w:rPr>
                <w:t>of 2002</w:t>
              </w:r>
            </w:hyperlink>
          </w:p>
        </w:tc>
        <w:tc>
          <w:tcPr>
            <w:tcW w:w="9740" w:type="dxa"/>
            <w:vAlign w:val="bottom"/>
            <w:gridSpan w:val="6"/>
          </w:tcPr>
          <w:p>
            <w:pPr>
              <w:spacing w:after="0"/>
              <w:rPr>
                <w:sz w:val="17"/>
                <w:szCs w:val="17"/>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62">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680" w:type="dxa"/>
            <w:vAlign w:val="bottom"/>
          </w:tcPr>
          <w:p>
            <w:pPr>
              <w:spacing w:after="0"/>
              <w:rPr>
                <w:sz w:val="24"/>
                <w:szCs w:val="24"/>
                <w:color w:val="auto"/>
              </w:rPr>
            </w:pPr>
          </w:p>
        </w:tc>
        <w:tc>
          <w:tcPr>
            <w:tcW w:w="103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Certification of the Chief Financial Officer pursuant to 18 U.S.C. Section 1350, as adopted pursuant to Section 906 of the Sarbanes-Oxley Act</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of 2002</w:t>
              </w:r>
            </w:hyperlink>
          </w:p>
        </w:tc>
        <w:tc>
          <w:tcPr>
            <w:tcW w:w="9760" w:type="dxa"/>
            <w:vAlign w:val="bottom"/>
            <w:gridSpan w:val="7"/>
          </w:tcPr>
          <w:p>
            <w:pPr>
              <w:spacing w:after="0"/>
              <w:rPr>
                <w:sz w:val="17"/>
                <w:szCs w:val="17"/>
                <w:color w:val="auto"/>
              </w:rPr>
            </w:pPr>
          </w:p>
        </w:tc>
      </w:tr>
      <w:tr>
        <w:trPr>
          <w:trHeight w:val="412"/>
        </w:trPr>
        <w:tc>
          <w:tcPr>
            <w:tcW w:w="420" w:type="dxa"/>
            <w:vAlign w:val="bottom"/>
            <w:gridSpan w:val="4"/>
          </w:tcPr>
          <w:p>
            <w:pPr>
              <w:spacing w:after="0"/>
              <w:rPr>
                <w:rFonts w:ascii="Arial" w:cs="Arial" w:eastAsia="Arial" w:hAnsi="Arial"/>
                <w:sz w:val="18"/>
                <w:szCs w:val="18"/>
                <w:color w:val="0000EE"/>
              </w:rPr>
            </w:pPr>
            <w:hyperlink r:id="rId191">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8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Privacy Policy of the Company (Incorporated by reference to Exhibit 99.1 of the Company’s Annual Report on Form 10-K, filed on March 16,</w:t>
              </w:r>
            </w:hyperlink>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1">
              <w:r>
                <w:rPr>
                  <w:rFonts w:ascii="Arial" w:cs="Arial" w:eastAsia="Arial" w:hAnsi="Arial"/>
                  <w:sz w:val="18"/>
                  <w:szCs w:val="18"/>
                  <w:color w:val="0000EE"/>
                  <w:w w:val="86"/>
                </w:rPr>
                <w:t>2011)</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73"/>
        </w:trPr>
        <w:tc>
          <w:tcPr>
            <w:tcW w:w="3600" w:type="dxa"/>
            <w:vAlign w:val="bottom"/>
          </w:tcPr>
          <w:p>
            <w:pPr>
              <w:spacing w:after="0"/>
              <w:rPr>
                <w:sz w:val="20"/>
                <w:szCs w:val="20"/>
                <w:color w:val="auto"/>
              </w:rPr>
            </w:pPr>
            <w:r>
              <w:rPr>
                <w:rFonts w:ascii="Arial" w:cs="Arial" w:eastAsia="Arial" w:hAnsi="Arial"/>
                <w:sz w:val="18"/>
                <w:szCs w:val="18"/>
                <w:color w:val="auto"/>
              </w:rPr>
              <w:t>Date: March 3,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60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D. Pomeroy, Jr.</w:t>
            </w:r>
          </w:p>
        </w:tc>
      </w:tr>
      <w:tr>
        <w:trPr>
          <w:trHeight w:val="230"/>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Robert D. Pomeroy, Jr., Daniel R. Trolio and Gerald A. Michaud as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9"/>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c>
          <w:tcPr>
            <w:tcW w:w="240" w:type="dxa"/>
            <w:vAlign w:val="bottom"/>
          </w:tcPr>
          <w:p>
            <w:pPr>
              <w:spacing w:after="0"/>
              <w:rPr>
                <w:sz w:val="24"/>
                <w:szCs w:val="24"/>
                <w:color w:val="auto"/>
              </w:rPr>
            </w:pPr>
          </w:p>
        </w:tc>
        <w:tc>
          <w:tcPr>
            <w:tcW w:w="5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 and Chief</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Robert D. Pomeroy, Jr.</w:t>
            </w:r>
          </w:p>
        </w:tc>
        <w:tc>
          <w:tcPr>
            <w:tcW w:w="240" w:type="dxa"/>
            <w:vAlign w:val="bottom"/>
          </w:tcPr>
          <w:p>
            <w:pPr>
              <w:spacing w:after="0"/>
              <w:rPr>
                <w:sz w:val="20"/>
                <w:szCs w:val="20"/>
                <w:color w:val="auto"/>
              </w:rPr>
            </w:pPr>
          </w:p>
        </w:tc>
        <w:tc>
          <w:tcPr>
            <w:tcW w:w="50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Executive Officer (Principal Executive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c>
          <w:tcPr>
            <w:tcW w:w="240" w:type="dxa"/>
            <w:vAlign w:val="bottom"/>
          </w:tcPr>
          <w:p>
            <w:pPr>
              <w:spacing w:after="0"/>
              <w:rPr>
                <w:sz w:val="24"/>
                <w:szCs w:val="24"/>
                <w:color w:val="auto"/>
              </w:rPr>
            </w:pPr>
          </w:p>
        </w:tc>
        <w:tc>
          <w:tcPr>
            <w:tcW w:w="5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Financial Officer and</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Daniel R. Trolio</w:t>
            </w:r>
          </w:p>
        </w:tc>
        <w:tc>
          <w:tcPr>
            <w:tcW w:w="240" w:type="dxa"/>
            <w:vAlign w:val="bottom"/>
          </w:tcPr>
          <w:p>
            <w:pPr>
              <w:spacing w:after="0"/>
              <w:rPr>
                <w:sz w:val="19"/>
                <w:szCs w:val="19"/>
                <w:color w:val="auto"/>
              </w:rPr>
            </w:pPr>
          </w:p>
        </w:tc>
        <w:tc>
          <w:tcPr>
            <w:tcW w:w="5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Treasurer (Principal Financial and Accounting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A. Michaud</w:t>
            </w:r>
          </w:p>
        </w:tc>
        <w:tc>
          <w:tcPr>
            <w:tcW w:w="240" w:type="dxa"/>
            <w:vAlign w:val="bottom"/>
          </w:tcPr>
          <w:p>
            <w:pPr>
              <w:spacing w:after="0"/>
              <w:rPr>
                <w:sz w:val="24"/>
                <w:szCs w:val="24"/>
                <w:color w:val="auto"/>
              </w:rPr>
            </w:pPr>
          </w:p>
        </w:tc>
        <w:tc>
          <w:tcPr>
            <w:tcW w:w="50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President and 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Gerald A. Michaud</w:t>
            </w:r>
          </w:p>
        </w:tc>
        <w:tc>
          <w:tcPr>
            <w:tcW w:w="2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Bottiglieri</w:t>
            </w:r>
          </w:p>
        </w:tc>
        <w:tc>
          <w:tcPr>
            <w:tcW w:w="240" w:type="dxa"/>
            <w:vAlign w:val="bottom"/>
          </w:tcPr>
          <w:p>
            <w:pPr>
              <w:spacing w:after="0"/>
              <w:rPr>
                <w:sz w:val="24"/>
                <w:szCs w:val="24"/>
                <w:color w:val="auto"/>
              </w:rPr>
            </w:pPr>
          </w:p>
        </w:tc>
        <w:tc>
          <w:tcPr>
            <w:tcW w:w="50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James J. Bottiglieri</w:t>
            </w:r>
          </w:p>
        </w:tc>
        <w:tc>
          <w:tcPr>
            <w:tcW w:w="2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V. Mahoney</w:t>
            </w:r>
          </w:p>
        </w:tc>
        <w:tc>
          <w:tcPr>
            <w:tcW w:w="240" w:type="dxa"/>
            <w:vAlign w:val="bottom"/>
          </w:tcPr>
          <w:p>
            <w:pPr>
              <w:spacing w:after="0"/>
              <w:rPr>
                <w:sz w:val="24"/>
                <w:szCs w:val="24"/>
                <w:color w:val="auto"/>
              </w:rPr>
            </w:pPr>
          </w:p>
        </w:tc>
        <w:tc>
          <w:tcPr>
            <w:tcW w:w="50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Edmund V. Mahoney</w:t>
            </w:r>
          </w:p>
        </w:tc>
        <w:tc>
          <w:tcPr>
            <w:tcW w:w="2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A. Sarsynski</w:t>
            </w:r>
          </w:p>
        </w:tc>
        <w:tc>
          <w:tcPr>
            <w:tcW w:w="240" w:type="dxa"/>
            <w:vAlign w:val="bottom"/>
          </w:tcPr>
          <w:p>
            <w:pPr>
              <w:spacing w:after="0"/>
              <w:rPr>
                <w:sz w:val="24"/>
                <w:szCs w:val="24"/>
                <w:color w:val="auto"/>
              </w:rPr>
            </w:pPr>
          </w:p>
        </w:tc>
        <w:tc>
          <w:tcPr>
            <w:tcW w:w="50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Elaine A. Sarsynski</w:t>
            </w:r>
          </w:p>
        </w:tc>
        <w:tc>
          <w:tcPr>
            <w:tcW w:w="2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Savage</w:t>
            </w:r>
          </w:p>
        </w:tc>
        <w:tc>
          <w:tcPr>
            <w:tcW w:w="240" w:type="dxa"/>
            <w:vAlign w:val="bottom"/>
          </w:tcPr>
          <w:p>
            <w:pPr>
              <w:spacing w:after="0"/>
              <w:rPr>
                <w:sz w:val="24"/>
                <w:szCs w:val="24"/>
                <w:color w:val="auto"/>
              </w:rPr>
            </w:pPr>
          </w:p>
        </w:tc>
        <w:tc>
          <w:tcPr>
            <w:tcW w:w="50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2"/>
              </w:rPr>
              <w:t>March 3, 2020</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Joseph J. Savage</w:t>
            </w:r>
          </w:p>
        </w:tc>
        <w:tc>
          <w:tcPr>
            <w:tcW w:w="2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right"/>
              <w:ind w:right="277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 of December 31, 2019, Horizon Technology Finance Corporation had the following two classes of securities registered under Section 12 of the Securities Exchange Act of 1934, as amended (the “Exchange Act”): (i) its common stock, $0.001 par value per share (“common stock”), and (ii) its 6.25% Notes due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following is a description of some of the terms of our common stock, our amended and restated certificate of incorporation (the “certificate of incorporation”), our amended and restated bylaws (the “bylaws”) and certain provisions of the Delaware General Corporation Law (the “DGCL”). The following description is not complete and is subject to, and qualified in its entirety by reference to, our charter and bylaws, each of which is filed or incorporated by reference as an exhibit to our Annual Report on Form 10-K of which this Exhibit is a part, and the DGCL. You should read our charter and bylaws and the applicable provisions of the DGCL for a complete statement of the provisions described under this caption “Description of Common Stock” and for other provisions that may be important to you.</w:t>
      </w:r>
    </w:p>
    <w:p>
      <w:pPr>
        <w:spacing w:after="0" w:line="19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Under the terms of our certificate of incorporation, our authorized common stock consists solely of 100,000,000 shares, par value $0.001 per share. Our common stock is traded on Nasdaq under the symbol “HRZN”. There are no outstanding options or warrants to purchase our stock. No stock has been authorized for issuance under any equity compensation plans. Under the DGCL, our stockholders generally are not personally liable for our debts or obligations.</w:t>
      </w:r>
    </w:p>
    <w:p>
      <w:pPr>
        <w:spacing w:after="0" w:line="18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Under the terms of our certificate of incorporation, all shares of our common stock have equal rights as to earnings, assets, distributions and voting. When they are issued, shares of our common stock will be duly authorized, validly issued, fully paid and non-assessable. Distributions may be paid to the holders of our common stock if, as and when declared by our Board out of assets legally available therefor, subject to any preferential dividend rights of outstanding preferred stock. Holders of common stock are entitled to one vote for each share held on all matters submitted to a vote of stockholders, including the election of directors, and do not have cumulative voting rights. Accordingly, holders of a majority of the shares of common stock entitled to vote in any election of directors may elect all of the directors standing for election. Upon our liquidation, dissolution or winding up, the holders of common stock are entitled to receive ratably our net assets available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the rights of the holders of any series of preferred stock which we may designate and issue in the future. In addition, holders of our common stock may participate in our DRIP.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bylaws, the DGCL and other arrangements.</w:t>
      </w:r>
    </w:p>
    <w:p>
      <w:pPr>
        <w:spacing w:after="0" w:line="229"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Certain provisions of our certificate of incorporation and bylaws, applicable provisions of the DGCL and certain other agreements to which we are a party may make it more difficult for or prevent an unsolicited third party from acquiring control of us or changing our Board and management. These provisions may have the effect of deterring hostile takeovers or delaying changes in our control or in our management. These provisions are intended to enhance the likelihood of continued stability in the composition of our Board and in the policies furnished by them and to discourage certain types of transactions that may involve an actual or threatened change in our control. The provisions also are intended to discourage certain tactics that may be used in proxy fights. These provisions, however, could have the effect of discouraging others from making tender offers for our shares and, as a consequence, they also may inhibit fluctuations in the market price of our shares that could result from actual or rumored takeover attempts.</w:t>
      </w:r>
    </w:p>
    <w:p>
      <w:pPr>
        <w:spacing w:after="0" w:line="178"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Our certificate of incorporation and bylaws provide that the affirmative vote of a plurality of all votes cast at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duly called at which a quorum is present shall be sufficient to elect a director. Under our certificate of incorporation, our Board may amend the bylaws to alter the vote required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both"/>
        <w:ind w:firstLine="401"/>
        <w:spacing w:after="0" w:line="259"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The classification of our Board and the limitations on removal of directors and filling of vacancies could have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making it more difficult for a third party to acquire us, or of discouraging a third party from acquiring us. Our Board is divided into three classes, with the term of one class expiring at each annual meeting of stockholders. At each annual meeting, one class of directors is elected to a three-year term. This provision could delay for up to two years the replacement of a majority of our Board.</w:t>
      </w:r>
    </w:p>
    <w:p>
      <w:pPr>
        <w:spacing w:after="0" w:line="18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i w:val="1"/>
          <w:iCs w:val="1"/>
          <w:color w:val="auto"/>
        </w:rPr>
        <w:t xml:space="preserve">Number of directors; vacancies; removal. </w:t>
      </w:r>
      <w:r>
        <w:rPr>
          <w:rFonts w:ascii="Arial" w:cs="Arial" w:eastAsia="Arial" w:hAnsi="Arial"/>
          <w:sz w:val="18"/>
          <w:szCs w:val="18"/>
          <w:color w:val="auto"/>
        </w:rPr>
        <w:t>Our certificate of incorporation provides that, by amendment to our bylaws, our Board is authorized to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directors without the consent of stockholders to any number between three and nine.</w:t>
      </w:r>
    </w:p>
    <w:p>
      <w:pPr>
        <w:spacing w:after="0" w:line="170"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Our certificate of incorporation provides that, subject to the rights of any holders of preferred stock, any vacancy on our Board, however the vacancy occurs, including a vacancy due to an enlargement of our Board, may only be filled by vote of a majority of the directors then in office.</w:t>
      </w:r>
    </w:p>
    <w:p>
      <w:pPr>
        <w:spacing w:after="0" w:line="147"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Subject to the rights of any holders of preferred stock, a director may be removed at any time at a meeting called for that purpose, but only for cause and only by the affirmative vote of the holders of at least 75% of the shares then entitled to vote for the election of the respective director.</w:t>
      </w:r>
    </w:p>
    <w:p>
      <w:pPr>
        <w:spacing w:after="0" w:line="14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70"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i w:val="1"/>
          <w:iCs w:val="1"/>
          <w:color w:val="auto"/>
        </w:rPr>
        <w:t xml:space="preserve">Action by stockholders. </w:t>
      </w:r>
      <w:r>
        <w:rPr>
          <w:rFonts w:ascii="Arial" w:cs="Arial" w:eastAsia="Arial" w:hAnsi="Arial"/>
          <w:sz w:val="16"/>
          <w:szCs w:val="16"/>
          <w:color w:val="auto"/>
        </w:rPr>
        <w:t>Under our certificate of incorporation and bylaws, stockholder action can only be taken at an annual meeting or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not by written action in lieu of a meeting. This may have the effect of delaying consideration of a stockholder proposal until the next annual meeting.</w:t>
      </w:r>
    </w:p>
    <w:p>
      <w:pPr>
        <w:spacing w:after="0" w:line="124"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bylaws provide that with respect to an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nominations of persons for election to our Board and the proposal of business to be considered by stockholders may be made only (1) by or at the direction of our Board, (2) pursuant to our notice of meeting or (3) by a stockholder who is entitled to vote at the meeting and who has complied with the advance notice procedures of the bylaws. Nominations of persons for election to our Board at a special meeting may be made only (1) by or at the direction of our Board, or (2) provided that our Board has determined that directors will be elected at the meeting, by a stockholder who is entitled to vote at the meeting and who has complied with the advance notice provisions of the bylaws. 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our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75"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i w:val="1"/>
          <w:iCs w:val="1"/>
          <w:color w:val="auto"/>
        </w:rPr>
        <w:t xml:space="preserve">Amendments to certificate of incorporation and bylaws. </w:t>
      </w:r>
      <w:r>
        <w:rPr>
          <w:rFonts w:ascii="Arial" w:cs="Arial" w:eastAsia="Arial" w:hAnsi="Arial"/>
          <w:sz w:val="18"/>
          <w:szCs w:val="18"/>
          <w:color w:val="auto"/>
        </w:rPr>
        <w:t>The DGCL provides generally that the affirmative vote of a majority of the shares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any matter is required to amend a corporation’s certificate of incorporation or bylaws, unless a corporation’s certificate of incorporation or bylaws requires a greater percentage. Our certificate of incorporation provides that the affirmative vote of 75% of the then outstanding shares entitled to vote generally in the election of directors voting together as a single class is required to amend provisions of our certificate of incorporation relating to the classification, size and vacancies of our Board, as well as the removal of directors. However, if 66 2/3% of the continuing directors have approved such amendment or repeal, the affirmative vote for such amendment or repeal shall be a majority of such shares. The affirmative vote of 75% of the then outstanding shares voting together as a single class is required to amend provisions of our certificate of incorporation relating to the calling of a special meeting of stockholders or the ability to amend or repeal the bylaws. Our certificate of incorporation permits our Board to amend or repeal our bylaws, provided that any amendment or repeal shall require the approval of at least 66 2/3% of the continuing directors. The stockholders do not have the right to adopt or repeal the bylaws.</w:t>
      </w:r>
    </w:p>
    <w:p>
      <w:pPr>
        <w:spacing w:after="0" w:line="195"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i w:val="1"/>
          <w:iCs w:val="1"/>
          <w:color w:val="auto"/>
        </w:rPr>
        <w:t xml:space="preserve">Stockholder meetings. </w:t>
      </w:r>
      <w:r>
        <w:rPr>
          <w:rFonts w:ascii="Arial" w:cs="Arial" w:eastAsia="Arial" w:hAnsi="Arial"/>
          <w:sz w:val="17"/>
          <w:szCs w:val="17"/>
          <w:color w:val="auto"/>
        </w:rPr>
        <w:t>Our certificate of incorporation and bylaws provide that any action required or permitted to be taken by stockholders at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may only be taken if it is properly brought before such meeting. For business to be properly brought before an annual meeting by a stockholder, the stockholder must provide timely notice to our Secretary. Notice is timely if it is delivered by a nationally recognized courier service or mailed by first class United States mail and received not earlier than 90 days nor more than 120 days in advance of the anniversary of the date our proxy statement was released to stockholders in connection with the previous year’s annual meeting. Action taken at a special meeting of stockholders is limited to the purposes stated in the properly provided notice of meeting. These provisions could have the effect of delaying until the next stockholder meeting actions that are favored by the holders of a majority of our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jc w:val="both"/>
        <w:ind w:right="20" w:firstLine="401"/>
        <w:spacing w:after="0" w:line="277" w:lineRule="auto"/>
        <w:rPr>
          <w:sz w:val="20"/>
          <w:szCs w:val="20"/>
          <w:color w:val="auto"/>
        </w:rPr>
      </w:pPr>
      <w:r>
        <w:rPr>
          <w:rFonts w:ascii="Arial" w:cs="Arial" w:eastAsia="Arial" w:hAnsi="Arial"/>
          <w:sz w:val="18"/>
          <w:szCs w:val="18"/>
          <w:i w:val="1"/>
          <w:iCs w:val="1"/>
          <w:color w:val="auto"/>
        </w:rPr>
        <w:t xml:space="preserve">Calling of special meetings by stockholders. </w:t>
      </w:r>
      <w:r>
        <w:rPr>
          <w:rFonts w:ascii="Arial" w:cs="Arial" w:eastAsia="Arial" w:hAnsi="Arial"/>
          <w:sz w:val="18"/>
          <w:szCs w:val="18"/>
          <w:color w:val="auto"/>
        </w:rPr>
        <w:t>Our certificate of incorporation and bylaws provide that special meetings of the stockholders may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called by our Board, Chairman, Chief Executive Officer or President.</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Section 203 of the DGCL. </w:t>
      </w:r>
      <w:r>
        <w:rPr>
          <w:rFonts w:ascii="Arial" w:cs="Arial" w:eastAsia="Arial" w:hAnsi="Arial"/>
          <w:sz w:val="18"/>
          <w:szCs w:val="18"/>
          <w:color w:val="auto"/>
        </w:rPr>
        <w:t>We are subject to the provisions of Section 203 of the DGCL. In general, these provisions prohibit a Delaware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engaging in any business combination with any interested stockholder for a period of three years following the date that the stockholder became an interested stockholder, unless:</w:t>
      </w:r>
    </w:p>
    <w:p>
      <w:pPr>
        <w:spacing w:after="0" w:line="181" w:lineRule="exact"/>
        <w:rPr>
          <w:sz w:val="20"/>
          <w:szCs w:val="20"/>
          <w:color w:val="auto"/>
        </w:rPr>
      </w:pPr>
    </w:p>
    <w:p>
      <w:pPr>
        <w:ind w:left="880" w:right="20" w:hanging="318"/>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880" w:hanging="318"/>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jc w:val="both"/>
        <w:ind w:left="880" w:hanging="318"/>
        <w:spacing w:after="0" w:line="264"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sale, transfer, pledge or other disposition (in one transaction or a series of transactions) of 10% or more of either the aggregate market value of all the assets of the corporation or the aggregate market value of all the outstanding stock of the corporation involving the interested stockholder;</w:t>
      </w:r>
    </w:p>
    <w:p>
      <w:pPr>
        <w:spacing w:after="0" w:line="181"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owned by the interested stockholder; or</w:t>
      </w:r>
    </w:p>
    <w:p>
      <w:pPr>
        <w:spacing w:after="0" w:line="170"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statute could prohibit or delay mergers or other takeover or change in control attempts and, accordingly, may discourage attempts to acquire us.</w:t>
      </w:r>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Conflict with 1940 Act. </w:t>
      </w:r>
      <w:r>
        <w:rPr>
          <w:rFonts w:ascii="Arial" w:cs="Arial" w:eastAsia="Arial" w:hAnsi="Arial"/>
          <w:sz w:val="18"/>
          <w:szCs w:val="18"/>
          <w:color w:val="auto"/>
        </w:rPr>
        <w:t>Our bylaws provide that, if and to the extent that any provision of the DGCL or our bylaws conflict with any provision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1940 Act, the applicable provision of the 1940 Act will control.</w:t>
      </w:r>
    </w:p>
    <w:p>
      <w:pPr>
        <w:spacing w:after="0" w:line="17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i w:val="1"/>
          <w:iCs w:val="1"/>
          <w:color w:val="auto"/>
        </w:rPr>
        <w:t xml:space="preserve">Approval of certain transactions. </w:t>
      </w:r>
      <w:r>
        <w:rPr>
          <w:rFonts w:ascii="Arial" w:cs="Arial" w:eastAsia="Arial" w:hAnsi="Arial"/>
          <w:sz w:val="17"/>
          <w:szCs w:val="17"/>
          <w:color w:val="auto"/>
        </w:rPr>
        <w:t>To convert us to an open-end investment company, to merge or consolidate us with any entity in a transaction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which the governing documents of the surviving entity do not contain substantially the same anti-takeover provisions as are provided in our certificate of incorporation, to liquidate and dissolve us, or to amend any of the anti-takeover provisions discussed herein, our certificate of incorporation requires the affirmative vote of a majority of our continuing directors followed by the favorable vote of the holders of at least 75% of each affected class or series of our shares, voting separately as a class or series, unless such amendment has been approved by the holders of at least 80% of the then outstanding shares of our capital stock, voting together as a single class. If approved in the foregoing manner, our conversion to an open-end investment company could not occur until 90 days after the stockholders meeting at which such conversion was approved and would also require at least 30 days’ prior notice to all stockholders. As part of any such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ind w:firstLine="405"/>
        <w:spacing w:after="0" w:line="257" w:lineRule="auto"/>
        <w:rPr>
          <w:sz w:val="20"/>
          <w:szCs w:val="20"/>
          <w:color w:val="auto"/>
        </w:rPr>
      </w:pPr>
      <w:r>
        <w:rPr>
          <w:rFonts w:ascii="Arial" w:cs="Arial" w:eastAsia="Arial" w:hAnsi="Arial"/>
          <w:sz w:val="18"/>
          <w:szCs w:val="18"/>
          <w:color w:val="auto"/>
        </w:rPr>
        <w:t>The 1940 Act defines “a majority of the outstanding voting securities” as the lesser of a majority of the outstanding shares and 67% of a quorum of a majority of the outstanding shares. For the purposes of calculating “a majority of the outstanding voting securities” under our certificate of incorporation, each class and series of our shares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Our Board has determined that provisions with respect to our Board and the stockholder voting requirements described above, which voting requirements are greater than the minimum requirements under the DGCL or the 1940 Act, are in the best interest of stockholders generally.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indemnification of our officers and directors is governed by Section 145 of the DGCL, and our certificate of incorporation and bylaws. Subsection</w:t>
      </w:r>
    </w:p>
    <w:p>
      <w:pPr>
        <w:spacing w:after="0" w:line="46" w:lineRule="exact"/>
        <w:rPr>
          <w:sz w:val="20"/>
          <w:szCs w:val="20"/>
          <w:color w:val="auto"/>
        </w:rPr>
      </w:pPr>
    </w:p>
    <w:p>
      <w:pPr>
        <w:jc w:val="both"/>
        <w:ind w:firstLine="8"/>
        <w:spacing w:after="0" w:line="288" w:lineRule="auto"/>
        <w:tabs>
          <w:tab w:leader="none" w:pos="2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(1) such person acted in good faith, (2) in a manner such person reasonably believed to be in or not opposed to the best interests of the corporation and (3) with respect to any criminal action or proceeding, such person had no reasonable cause to believe the person’s conduct was unlawful.</w:t>
      </w:r>
    </w:p>
    <w:p>
      <w:pPr>
        <w:spacing w:after="0" w:line="16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7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Section 145 of the DGCL further provides that to the extent that a present or former director or officer is successful, on the merits or otherwise, in the defense of any action, suit or proceeding referred to in subsections (a) and (b) of Section 145 of the DGCL, or in defense of any claim, issue or matter therein, such person will be indemnified against expenses (including attorneys’ fees) actually and reasonably incurred by such person in connection with such action, suit or proceeding. In all cases in which indemnification is permitted under subsections (a) and (b) of Section 145 of the DGCL (unless ordered by a court), it will be made by the corporation only as authorized in the specific case upon a determination that indemnification of the present or former director, officer, employee or agent is proper in the circumstances because the applicable standard of conduct has been met by the party to be indemnified. Such determination must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The statute authorizes the corporation to pay expenses incurred by an officer or director in advance of the final disposition of a proceeding upon receipt of an undertaking by or on behalf of the person to whom the advance will be made, to repay the advances if it is ultimately determined that he or she was not entitled to indemnification. Section 145 of the DGCL also provides that indemnification and advancement of expenses permitted under such Section are not to be exclusive of any other rights to which those seeking indemnification or advancement of expenses may be entitled under any bylaw, agreement, vote of stockholders or disinterested directors, or otherwise. Section 145 of the DGCL also authorizes the corporation to purchase and maintain liability insurance on behalf of its directors, officers, employees and agents regardless of whether the corporation would have the statutory power to indemnify such persons against the liabilities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jc w:val="both"/>
        <w:ind w:firstLine="405"/>
        <w:spacing w:after="0" w:line="255" w:lineRule="auto"/>
        <w:rPr>
          <w:sz w:val="20"/>
          <w:szCs w:val="20"/>
          <w:color w:val="auto"/>
        </w:rPr>
      </w:pPr>
      <w:r>
        <w:rPr>
          <w:rFonts w:ascii="Arial" w:cs="Arial" w:eastAsia="Arial" w:hAnsi="Arial"/>
          <w:sz w:val="18"/>
          <w:szCs w:val="18"/>
          <w:color w:val="auto"/>
        </w:rPr>
        <w:t>Our certificate of incorporation provides that our directors will not be liable to us or our stockholders for monetary damages for breach of fiduciary duty as a director to the fullest extent permitted by the DGCL. Section 102(b)(7) of the DGCL provides that the personal liability of a director to a corporation or its stockholders for breach of fiduciary duty as a director may be eliminated except for liability (1) for any breach of the director’s duty of loyalty to the corporation or its stockholders, (2) for acts or omissions not in good faith or which involve intentional misconduct or a knowing violation of law, (3) under Section 174 of the DGCL, relating to unlawful payment of distributions or unlawful stock purchases or redemption of stock or (4) for any transaction from which the director derives an improper personal benefit.</w:t>
      </w:r>
    </w:p>
    <w:p>
      <w:pPr>
        <w:spacing w:after="0" w:line="1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Under our certificate of incorporation, we fully indemnify any person who was or is involved in any actual or threatened action, suit or proceeding by reason of the fact that such person is or was one of our directors or officers. So long as we are regulated under the 1940 Act, the above indemnification and limitation of liability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obtained liability insurance for our directors and officers. In addition, we have entered into indemnification agreements with each of our directors and officers in order to effect the foregoing except to the extent that such indemnification would exceed the limitations on indemnification under Section 17(h)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6.25% Notes due 2022 (the “notes”) were issued under an indenture dated as of March 23, 2012 (the “base indenture”), as amended and supplemented by a second supplemental indenture dated as of September 27, 2017 (the “supplemental indenture;” the base indenture, as amended and supplemented by the supplemental indenture, is hereinafter called the “indenture”), each between us and U.S. Bank National Association, as trustee.</w:t>
      </w:r>
    </w:p>
    <w:p>
      <w:pPr>
        <w:spacing w:after="0" w:line="14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may issue our debt securities under the indenture from time to time in one or more series. The notes are a separate series of our debt securities issued and outstanding under the indenture, which means that, for purposes of giving any consent, notice or waiver or taking any other action under the indenture, the registered holders of the notes will act separately from the registered holders of each other series of our debt securities that may be outstanding under the indenture from time to time. Unless otherwise expressly stated or the context otherwise requires, references to “debt securities” under this caption “Description of Notes” and the caption “Description of Indenture” below shall include the notes.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description of some of the terms of the notes and the indenture contained under this caption “Description of Notes” are not complete and are subject to, and qualified in their entirety by reference to, the indenture and the form of the notes, which are incorporated by reference as exhibits to the Annual Report on Form 10-K of which this Exhibit is a part. You should read the indenture and the form of the notes for a complete statement of the provisions described under this caption “Description of Notes” and other provisions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880" w:hanging="318"/>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were issued in an initial principal amount of $37,375,000;</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mature on September 15, 2022, unless redeemed prior to maturity;</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were issued in denominations of $25 and integral multiples of $25 in excess thereof;</w:t>
      </w:r>
    </w:p>
    <w:p>
      <w:pPr>
        <w:spacing w:after="0" w:line="225" w:lineRule="exact"/>
        <w:rPr>
          <w:rFonts w:ascii="Arial" w:cs="Arial" w:eastAsia="Arial" w:hAnsi="Arial"/>
          <w:sz w:val="18"/>
          <w:szCs w:val="18"/>
          <w:color w:val="auto"/>
        </w:rPr>
      </w:pPr>
    </w:p>
    <w:p>
      <w:pPr>
        <w:jc w:val="both"/>
        <w:ind w:left="880" w:hanging="318"/>
        <w:spacing w:after="0" w:line="264"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are redeemable in whole or in part at any time or from time to time on and after September 15, 2019, at a redemption price of $25 per Note plus accrued and unpaid interest payments otherwise payable for the then-current quarterly interest period accrued to the date fixed for redemption as described under “— Redemption and Repayment” below;</w:t>
      </w:r>
    </w:p>
    <w:p>
      <w:pPr>
        <w:spacing w:after="0" w:line="181" w:lineRule="exact"/>
        <w:rPr>
          <w:rFonts w:ascii="Arial" w:cs="Arial" w:eastAsia="Arial" w:hAnsi="Arial"/>
          <w:sz w:val="18"/>
          <w:szCs w:val="18"/>
          <w:color w:val="auto"/>
        </w:rPr>
      </w:pPr>
    </w:p>
    <w:p>
      <w:pPr>
        <w:ind w:left="880" w:hanging="318"/>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are listed on NYSE under the symbol “HTFA”.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 are our direct unsecured obligations and rank:</w:t>
      </w:r>
    </w:p>
    <w:p>
      <w:pPr>
        <w:spacing w:after="0" w:line="225" w:lineRule="exact"/>
        <w:rPr>
          <w:sz w:val="20"/>
          <w:szCs w:val="20"/>
          <w:color w:val="auto"/>
        </w:rPr>
      </w:pPr>
    </w:p>
    <w:p>
      <w:pPr>
        <w:ind w:left="880" w:hanging="318"/>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pari passu with current and future unsecured unsubordinated indebtedness;</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secured indebtedness (including indebtedness that is initially unsecured to which we subsequently grant security), to the extent of the value of the assets securing such indebtedness; and</w:t>
      </w:r>
    </w:p>
    <w:p>
      <w:pPr>
        <w:spacing w:after="0" w:line="170" w:lineRule="exact"/>
        <w:rPr>
          <w:rFonts w:ascii="Arial" w:cs="Arial" w:eastAsia="Arial" w:hAnsi="Arial"/>
          <w:sz w:val="18"/>
          <w:szCs w:val="18"/>
          <w:color w:val="auto"/>
        </w:rPr>
      </w:pPr>
    </w:p>
    <w:p>
      <w:pPr>
        <w:jc w:val="both"/>
        <w:ind w:left="880" w:hanging="318"/>
        <w:spacing w:after="0" w:line="264"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without limitation amounts outstanding under our revolving credit facility with KeyBank National Association (the “Key Facility”).</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9" w:name="page150"/>
    <w:bookmarkEnd w:id="149"/>
    <w:p>
      <w:pPr>
        <w:jc w:val="both"/>
        <w:ind w:firstLine="405"/>
        <w:spacing w:after="0" w:line="255" w:lineRule="auto"/>
        <w:rPr>
          <w:sz w:val="20"/>
          <w:szCs w:val="20"/>
          <w:color w:val="auto"/>
        </w:rPr>
      </w:pPr>
      <w:r>
        <w:rPr>
          <w:rFonts w:ascii="Arial" w:cs="Arial" w:eastAsia="Arial" w:hAnsi="Arial"/>
          <w:sz w:val="18"/>
          <w:szCs w:val="18"/>
          <w:color w:val="auto"/>
        </w:rPr>
        <w:t>The Notes are issuable in fully registered form only, without coupons, in minimum denominations of $25 and integral multiples thereof. The Notes are represented by one or more global notes deposited with or on behalf of DTC, or a nominee thereof. Except as otherwise provided in the Indenture, the Notes are registered in the name of that depositary or its nominee.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if our asset coverage, as defined in the 1940 Act, is at least equal to 200% immediately after each such issuance.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Provisions Related to the Notes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Interest on the Notes accrues at the rate of 6.25% per annum and is payable quarterly on each March 15, June 15, September 15, and December 15. The interest periods will be the periods from and including an interest payment date to, but excluding, the next interest payment date or the stated maturity date, as the case may be. We will pay interest to those persons who were holders of record of such Notes on the first day of the month during which each interest payment date occurs: each March 1, June 1, September 1 and December 1, commencing December 1, 2017.</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on the Notes accrues from the date of original issuance and is computed on the basis of a 360-day year comprised of twelve 30-day months. The notes are not entitled to the benefit of any sinking fund.</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Interest payments are made only on a business day, defined in the Indenture as each Monday, Tuesday, Wednesday, Thursday and Friday that is not a day on which banking institutions in New York City and Chicago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and Repayment</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Notes may be redeemed in whole or in part at any time or from time to time at our option on or after September 15, 2019, upon not less than 30 days nor more than 60 days written notice by mail prior to the date fixed for redemption thereof, at a redemption price of $25 per Note plus accrued and unpaid interest payments otherwise payable for the then-current quarterly interest period accrued to the date fixed for redemption.</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Holders may be prevented from exchanging or transferring the Notes when they are subject to redemption. In case any Notes are to be redeemed in part only, the redemption notice will provide that, upon surrender of such Note, a holder will receive, without a charge, a new Note or Notes of authorized denominations representing the principal amount of a holder’s remaining unredeemed Notes.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exercise of our option to redeem the Notes will be done in compliance with the 1940 Act, to the extent applicable.</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If we redeem only a portion of the Notes, the Trustee will determine the method for selection of the particular Notes to be redeemed in compliance with the requirements of the NYSE (or such other principal national securities exchange on which the Notes are then listed), or, if the Notes are not then listed on any national securities exchange, on a pro rata basis, by lot, or by such method as the trustee deems fair and appropriate, in accordance with the 1940 Act to the extent applicable and in accordance with any applicable depositary procedures. Unless we default in payment of the redemption price, on and after the date of redemption, interest will cease to accrue on the Notes called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ind w:left="420"/>
        <w:spacing w:after="0"/>
        <w:rPr>
          <w:sz w:val="20"/>
          <w:szCs w:val="20"/>
          <w:color w:val="auto"/>
        </w:rPr>
      </w:pPr>
      <w:r>
        <w:rPr>
          <w:rFonts w:ascii="Arial" w:cs="Arial" w:eastAsia="Arial" w:hAnsi="Arial"/>
          <w:sz w:val="18"/>
          <w:szCs w:val="18"/>
          <w:color w:val="auto"/>
        </w:rPr>
        <w:t>Holders do not have the option to have the Notes repaid prior to the stated maturity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expect the Notes to trade at a price that takes into account the value, if any, of accrued and unpaid interest. This means that purchasers will not pay, and sellers will not receive, accrued and unpaid interest on the Notes that is not included in their trading price. Any portion of the trading price of a Note that is attributable to accrued and unpaid interest will be treated as a payment of interest for U.S. federal income tax purposes and will not be treated as part of the amount realized for purposes of determining gain or loss on the disposition of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standard covenants relating to payment of principal and interest, maintaining an office where payments may be made or securities surrendered for payment, payment of taxes and related matters, the following covenants apply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agreed to provide to holders of the Notes and the trustee (if at any time when Notes are outstanding we are not subject to the reporting requirements of Sections 13 or 15(d) of the Exchange Act to file any periodic reports with the SEC),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940 Act Compliance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agreed that, for the period of time during which the Notes are outstanding, we will not violate Section 18(a)(1)(A) as modified by Section 61(a)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of the 1940 Act or any successor provisions.</w:t>
      </w:r>
    </w:p>
    <w:p>
      <w:pPr>
        <w:spacing w:after="0" w:line="211"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We have agreed that, for the period of time during which the Notes are outstanding, we will not violate Section 18(a)(1)(B) as modified by (i) Section 61(a)(1) of the 1940 Act, the definitional provisions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61(a)(1)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for purposes of Section 18(a)(1)(B) in the 1940 Act, were below 200% at the time of the declaration of the dividend or distribution or purchase and after deducting the amount of such dividend, distribution, or purchase. Under the covenant, we will be permitted to declare a cash dividend or distribution notwithstanding the prohibition contained in Section 18(a)(1)(B) as modified by Section 61(a)</w:t>
      </w:r>
    </w:p>
    <w:p>
      <w:pPr>
        <w:spacing w:after="0" w:line="1" w:lineRule="exact"/>
        <w:rPr>
          <w:sz w:val="20"/>
          <w:szCs w:val="20"/>
          <w:color w:val="auto"/>
        </w:rPr>
      </w:pPr>
    </w:p>
    <w:p>
      <w:pPr>
        <w:jc w:val="both"/>
        <w:ind w:firstLine="8"/>
        <w:spacing w:after="0" w:line="254" w:lineRule="auto"/>
        <w:tabs>
          <w:tab w:leader="none" w:pos="2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the 1940 Act, but only up to such amount as is necessary for us to maintain our status as a regulated investment company under Subchapter M of the Internal Revenue Code of 1986. Furthermore, the covenant will not be triggered unless and until such time as our asset coverage has not been in compliance with the minimum asset coverage required by Section 18(a)(1)(B) as modified by Section 61(a)(1) of the 1940 Act (after giving effect to any exemptive relief granted to us by the SEC) for more than six consecutive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holder will have rights if an Event of Default occurs in respect of the Notes and is not cured, as described later in this subsection.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225" w:lineRule="exact"/>
        <w:rPr>
          <w:sz w:val="20"/>
          <w:szCs w:val="20"/>
          <w:color w:val="auto"/>
        </w:rPr>
      </w:pPr>
    </w:p>
    <w:p>
      <w:pPr>
        <w:ind w:left="880" w:hanging="318"/>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when due, whether at maturity, upon redemption or otherwise.</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pay interest on the Notes when due, and such default is not cured within 30 days.</w:t>
      </w:r>
    </w:p>
    <w:p>
      <w:pPr>
        <w:spacing w:after="0" w:line="225" w:lineRule="exact"/>
        <w:rPr>
          <w:rFonts w:ascii="Arial" w:cs="Arial" w:eastAsia="Arial" w:hAnsi="Arial"/>
          <w:sz w:val="18"/>
          <w:szCs w:val="18"/>
          <w:color w:val="auto"/>
        </w:rPr>
      </w:pPr>
    </w:p>
    <w:p>
      <w:pPr>
        <w:jc w:val="both"/>
        <w:ind w:left="880" w:hanging="318"/>
        <w:spacing w:after="0" w:line="26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for 60 days after we receive a written notice of default stating we are in breach. The notice must be sent by either the trustee, if such default is known to a responsible officer of the trustee or a responsible officer of the trustee has received written notice of such default, or holders of at least 25% of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1" w:name="page152"/>
    <w:bookmarkEnd w:id="151"/>
    <w:p>
      <w:pPr>
        <w:jc w:val="both"/>
        <w:ind w:left="880" w:hanging="318"/>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acceleration of our or our subsidiaries’ indebtedness for money borrowed in aggregate principal amount of $10 million or more so that it becomes due and payable before the date on which it would otherwise have become due and payable, if such acceleration is not rescinded within 30 days after we receive a written notice of default stating we are in breach. The notice must be sent by either the trustee or holders of at least 25% of the principal amount of the Notes.</w:t>
      </w:r>
    </w:p>
    <w:p>
      <w:pPr>
        <w:spacing w:after="0" w:line="186" w:lineRule="exact"/>
        <w:rPr>
          <w:rFonts w:ascii="Arial" w:cs="Arial" w:eastAsia="Arial" w:hAnsi="Arial"/>
          <w:sz w:val="18"/>
          <w:szCs w:val="18"/>
          <w:color w:val="auto"/>
        </w:rPr>
      </w:pPr>
    </w:p>
    <w:p>
      <w:pPr>
        <w:ind w:left="880" w:right="20" w:hanging="318"/>
        <w:spacing w:after="0" w:line="342"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or any of our subsidiaries fail, within 30 days, to pay, bond or otherwise discharge any final, non-appealable judgments or orders for the payment of money the total uninsured amount of which for us or any of our subsidiaries exceeds $10 million, which are not stayed on appeal.</w:t>
      </w:r>
    </w:p>
    <w:p>
      <w:pPr>
        <w:spacing w:after="0" w:line="123" w:lineRule="exact"/>
        <w:rPr>
          <w:rFonts w:ascii="Arial" w:cs="Arial" w:eastAsia="Arial" w:hAnsi="Arial"/>
          <w:sz w:val="16"/>
          <w:szCs w:val="16"/>
          <w:color w:val="auto"/>
        </w:rPr>
      </w:pPr>
    </w:p>
    <w:p>
      <w:pPr>
        <w:jc w:val="both"/>
        <w:ind w:left="880" w:hanging="318"/>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or any of our subsidiaries that is a “significant subsidiary” (as defined in Regulation S-X under the Exchange Act) or any group of our subsidiaries that in the aggregate would constitute a “significant subsidiary” file for bankruptcy, or certain other events of bankruptcy, insolvency or reorganization occur and in the case of certain orders or decrees entered against us under bankruptcy law, such order or decree remains undischarged or unstayed for a period of 60 days.</w:t>
      </w:r>
    </w:p>
    <w:p>
      <w:pPr>
        <w:spacing w:after="0" w:line="186" w:lineRule="exact"/>
        <w:rPr>
          <w:rFonts w:ascii="Arial" w:cs="Arial" w:eastAsia="Arial" w:hAnsi="Arial"/>
          <w:sz w:val="18"/>
          <w:szCs w:val="18"/>
          <w:color w:val="auto"/>
        </w:rPr>
      </w:pPr>
    </w:p>
    <w:p>
      <w:pPr>
        <w:ind w:left="880" w:hanging="318"/>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we have an asset coverage of less than 100%.</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trustee may withhold notice to the holders of the Notes any default, except in the payment of principal, premium or interest, if it considers the withholding of notice to be in the best interests of the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If an Event of Default, other than an Event of Default referred to in the second to last bullet point above with respect to us (but including an Event of Default referred to in that bullet point solely with respect to a significant subsidiary, or group of subsidiaries that in the aggregate would constitute a significant subsidiary of ours), has occurred and has not been cured, the trustee, if such event of default is known to a responsible officer of the trustee or a responsible officer of the trustee has received written notice of such event of default, or the holders of at least 25% in principal amount of Notes may declare the entire principal amount of all the Notes to be due and immediately payable. If an Event of Default referred to in the second to last bullet point above with respect to us (and not solely with respect to a significant subsidiary, or group of subsidiaries that in the aggregate would constitute a significant subsidiary of ours) has occurred, the entire principal amount of all the Notes will automatically become due and immediately payable. This is called a declaration of acceleration of maturity. In certain circumstances, a declaration of acceleration of maturity may be canceled by the holders of a majority in principal amount of the Notes.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trustee is not required to take any action under the Indenture at the request of any holders unless the holders offer the trustee reasonable protection from expenses and liability (called an “indemnity”) (Section 315 of the Trust Indenture Act of 1939).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Before a holder is allowed to bypass the trustee and bring their own lawsuit or other formal legal action or take other steps to enforce their rights or protect their interests relating to the Notes, the following must occur:</w:t>
      </w:r>
    </w:p>
    <w:p>
      <w:pPr>
        <w:spacing w:after="0" w:line="170" w:lineRule="exact"/>
        <w:rPr>
          <w:sz w:val="20"/>
          <w:szCs w:val="20"/>
          <w:color w:val="auto"/>
        </w:rPr>
      </w:pPr>
    </w:p>
    <w:p>
      <w:pPr>
        <w:ind w:left="880" w:hanging="318"/>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holder must give the trustee written notice that an Event of Default has occurred and remains uncured.</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Notes must make a written request that the trustee take action because of the default and must offer reasonable indemnity to the trustee against the cost and other liabilities of taking that action.</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must not have taken action for 60 calendar days after receipt of the above notice and offer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2" w:name="page153"/>
    <w:bookmarkEnd w:id="152"/>
    <w:p>
      <w:pPr>
        <w:ind w:left="880" w:hanging="318"/>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 calendar day period.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However, a holder is entitled at any time to bring a lawsuit for the payment of money due on Notes on or after the due date.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Holders of a majority in principal amount of the Notes may waive any past defaults other than:</w:t>
      </w:r>
    </w:p>
    <w:p>
      <w:pPr>
        <w:spacing w:after="0" w:line="225" w:lineRule="exact"/>
        <w:rPr>
          <w:sz w:val="20"/>
          <w:szCs w:val="20"/>
          <w:color w:val="auto"/>
        </w:rPr>
      </w:pPr>
    </w:p>
    <w:p>
      <w:pPr>
        <w:ind w:left="880" w:hanging="318"/>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or else specifying any default.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w:t>
      </w:r>
    </w:p>
    <w:p>
      <w:pPr>
        <w:spacing w:after="0" w:line="181" w:lineRule="exact"/>
        <w:rPr>
          <w:sz w:val="20"/>
          <w:szCs w:val="20"/>
          <w:color w:val="auto"/>
        </w:rPr>
      </w:pPr>
    </w:p>
    <w:p>
      <w:pPr>
        <w:ind w:left="880" w:hanging="318"/>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all of our obligations under the Notes and the Indenture.</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Requiring Approval of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First, there are changes that we cannot make to the Notes without the specific approval of the holders. The following is a list of those types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accompanying prospectus or prospectus supplement) or currency of payment on the Notes;</w:t>
      </w:r>
    </w:p>
    <w:p>
      <w:pPr>
        <w:spacing w:after="0" w:line="248" w:lineRule="exact"/>
        <w:rPr>
          <w:rFonts w:ascii="Arial" w:cs="Arial" w:eastAsia="Arial" w:hAnsi="Arial"/>
          <w:sz w:val="16"/>
          <w:szCs w:val="16"/>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impair a holder’s right to sue for payment;</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w:t>
      </w:r>
    </w:p>
    <w:p>
      <w:pPr>
        <w:spacing w:after="0" w:line="170"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880" w:hanging="318"/>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change affects only the Notes, it must be approved by the holders of a majority in principal amount of the Notes outstanding at such time.</w:t>
      </w:r>
    </w:p>
    <w:p>
      <w:pPr>
        <w:spacing w:after="0" w:line="248" w:lineRule="exact"/>
        <w:rPr>
          <w:rFonts w:ascii="Arial" w:cs="Arial" w:eastAsia="Arial" w:hAnsi="Arial"/>
          <w:sz w:val="16"/>
          <w:szCs w:val="16"/>
          <w:color w:val="auto"/>
        </w:rPr>
      </w:pPr>
    </w:p>
    <w:p>
      <w:pPr>
        <w:ind w:left="880" w:hanging="318"/>
        <w:spacing w:after="0" w:line="308"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p>
      <w:pPr>
        <w:spacing w:after="0" w:line="1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Approval of Holders.</w:t>
      </w: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current United States federal tax law, we can make the deposit described below and be released from some of the restrictive covenants in the Indenture under which the Notes were issued. This is called “covenant defeasance.” In that event, a holder would lose the protection of those restrictive covenants but would gain the protection of having money and government securities set aside in trust to repay a holder’s Notes. In order to achieve covenant defeasance, we must do the following:</w:t>
      </w:r>
    </w:p>
    <w:p>
      <w:pPr>
        <w:spacing w:after="0" w:line="187" w:lineRule="exact"/>
        <w:rPr>
          <w:sz w:val="20"/>
          <w:szCs w:val="20"/>
          <w:color w:val="auto"/>
        </w:rPr>
      </w:pPr>
    </w:p>
    <w:p>
      <w:pPr>
        <w:jc w:val="both"/>
        <w:ind w:left="880" w:hanging="318"/>
        <w:spacing w:after="0" w:line="302" w:lineRule="auto"/>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w:t>
      </w:r>
    </w:p>
    <w:p>
      <w:pPr>
        <w:spacing w:after="0" w:line="154" w:lineRule="exact"/>
        <w:rPr>
          <w:rFonts w:ascii="Arial" w:cs="Arial" w:eastAsia="Arial" w:hAnsi="Arial"/>
          <w:sz w:val="16"/>
          <w:szCs w:val="16"/>
          <w:color w:val="auto"/>
        </w:rPr>
      </w:pPr>
    </w:p>
    <w:p>
      <w:pPr>
        <w:jc w:val="both"/>
        <w:ind w:left="880" w:hanging="318"/>
        <w:spacing w:after="0" w:line="26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holders to be taxed on the Notes any differently than if we did not make the deposit and just repaid the Notes ourselves at maturity.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accomplish covenant defeasance, a holder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a holder may not be able to obtain payment of the shortfall.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there is a change in U.S. federal tax law, as described below, we can legally release ourselves from all payment and other obligations on the Notes (called “full defeasance”) if we put in place the following other arrangements for a holder to be repaid:</w:t>
      </w:r>
    </w:p>
    <w:p>
      <w:pPr>
        <w:spacing w:after="0" w:line="170" w:lineRule="exact"/>
        <w:rPr>
          <w:sz w:val="20"/>
          <w:szCs w:val="20"/>
          <w:color w:val="auto"/>
        </w:rPr>
      </w:pPr>
    </w:p>
    <w:p>
      <w:pPr>
        <w:jc w:val="both"/>
        <w:ind w:left="880" w:hanging="318"/>
        <w:spacing w:after="0" w:line="25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 No Default or Event of Default with respect to the Notes shall have occurred and be continuing on the date of such deposit, or in the case of a bankruptcy Event of Default, at any time during the period ending on the 91st day after the date of such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ind w:left="880" w:hanging="318"/>
        <w:spacing w:after="0" w:line="297" w:lineRule="auto"/>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 ruling issued by the Internal Revenue Service, or IRS, that allows us to make the above deposit without causing holders to be taxed on the Notes any differently than if we did not make the deposit and just repaid the Notes ourselves at maturity. Under current U.S. federal tax law, the deposit and our legal release from the Notes would be treated as though we paid holders their share of the cash and notes or bonds at the time the cash and notes or bonds were deposited in trust in exchange for their Notes and holders would recognize gain or loss on the Notes at the time of the deposit.</w:t>
      </w:r>
    </w:p>
    <w:p>
      <w:pPr>
        <w:spacing w:after="0" w:line="158" w:lineRule="exact"/>
        <w:rPr>
          <w:rFonts w:ascii="Arial" w:cs="Arial" w:eastAsia="Arial" w:hAnsi="Arial"/>
          <w:sz w:val="16"/>
          <w:szCs w:val="16"/>
          <w:color w:val="auto"/>
        </w:rPr>
      </w:pPr>
    </w:p>
    <w:p>
      <w:pPr>
        <w:ind w:left="880" w:right="20" w:hanging="318"/>
        <w:spacing w:after="0" w:line="308"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service charge will be made for any registration of transfer or any exchange of Notes, but we may require payment of a sum sufficient to cover any transfer tax or similar governmental charge payable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and will cease to be of further effect with respect to the Notes when either:</w:t>
      </w:r>
    </w:p>
    <w:p>
      <w:pPr>
        <w:spacing w:after="0" w:line="225" w:lineRule="exact"/>
        <w:rPr>
          <w:sz w:val="20"/>
          <w:szCs w:val="20"/>
          <w:color w:val="auto"/>
        </w:rPr>
      </w:pPr>
    </w:p>
    <w:p>
      <w:pPr>
        <w:ind w:left="880" w:hanging="318"/>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the Notes that have been authenticated have been delivered to the trustee for cancellation; or</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the Notes that have not been delivered to the trustee for cancellation:</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880" w:hanging="318"/>
        <w:spacing w:after="0" w:line="276"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are to be called for redemption within one year, 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w:t>
      </w:r>
    </w:p>
    <w:p>
      <w:pPr>
        <w:spacing w:after="0" w:line="172" w:lineRule="exact"/>
        <w:rPr>
          <w:rFonts w:ascii="Arial" w:cs="Arial" w:eastAsia="Arial" w:hAnsi="Arial"/>
          <w:sz w:val="17"/>
          <w:szCs w:val="17"/>
          <w:color w:val="auto"/>
        </w:rPr>
      </w:pPr>
    </w:p>
    <w:p>
      <w:pPr>
        <w:ind w:left="880" w:hanging="318"/>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Notes; and</w:t>
      </w:r>
    </w:p>
    <w:p>
      <w:pPr>
        <w:spacing w:after="0" w:line="225" w:lineRule="exact"/>
        <w:rPr>
          <w:rFonts w:ascii="Arial" w:cs="Arial" w:eastAsia="Arial" w:hAnsi="Arial"/>
          <w:sz w:val="18"/>
          <w:szCs w:val="18"/>
          <w:color w:val="auto"/>
        </w:rPr>
      </w:pPr>
    </w:p>
    <w:p>
      <w:pPr>
        <w:ind w:left="880" w:hanging="318"/>
        <w:spacing w:after="0" w:line="342"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 and Additional Series of Notes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National Association serves as the trustee under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Paying Agent, Registrar and Transfer Agent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principal amount of each Note is payable on the stated maturity date at the office of the Paying Agent, Registrar and Transfer Agent for the Notes or at such other office in New York City as we may designate. The trustee acts as Paying Agent, Registrar and Transfer Agent for the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Notes are governed by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DTC acts as securities depository for the Notes. The Notes are issued as fully registered securities registered in the name of Cede &amp; Co. (DTC’s partnership nominee) or such other name as may be requested by an authorized representative of DTC. One fully-registered certificate is issued for the Notes, in the aggregate principal amount of such issue, and is deposited with DTC.</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do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are responsible for keeping account of their holdings on behalf of their customers.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both"/>
        <w:ind w:firstLine="648"/>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12/31/2019</w:t>
      </w:r>
    </w:p>
    <w:p>
      <w:pPr>
        <w:spacing w:after="0" w:line="211" w:lineRule="exact"/>
        <w:rPr>
          <w:sz w:val="20"/>
          <w:szCs w:val="20"/>
          <w:color w:val="auto"/>
        </w:rPr>
      </w:pPr>
    </w:p>
    <w:p>
      <w:pPr>
        <w:ind w:right="5360"/>
        <w:spacing w:after="0" w:line="255" w:lineRule="auto"/>
        <w:rPr>
          <w:sz w:val="20"/>
          <w:szCs w:val="20"/>
          <w:color w:val="auto"/>
        </w:rPr>
      </w:pPr>
      <w:r>
        <w:rPr>
          <w:rFonts w:ascii="Arial" w:cs="Arial" w:eastAsia="Arial" w:hAnsi="Arial"/>
          <w:sz w:val="18"/>
          <w:szCs w:val="18"/>
          <w:color w:val="auto"/>
        </w:rPr>
        <w:t>Compass Horizon Funding Company LLC — Delaware Limited Liability Company Horizon Credit II LLC — Delaware Limited Liability Company Horizon Funding 2019-1 LLC — Delaware Limited Liability Company Horizon Funding Trust 2019-1 – Delaware Trust HSBG LLC — Delaware Limited Liability Company HAU Assets LLC –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Chairman of the Board and Chief Executive Officer of Horizon Technology Finance Corporation, certify that:</w:t>
      </w:r>
    </w:p>
    <w:p>
      <w:pPr>
        <w:spacing w:after="0" w:line="225" w:lineRule="exact"/>
        <w:rPr>
          <w:sz w:val="20"/>
          <w:szCs w:val="20"/>
          <w:color w:val="auto"/>
        </w:rPr>
      </w:pPr>
    </w:p>
    <w:p>
      <w:pPr>
        <w:ind w:left="640" w:hanging="218"/>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25" w:lineRule="exact"/>
        <w:rPr>
          <w:rFonts w:ascii="Arial" w:cs="Arial" w:eastAsia="Arial" w:hAnsi="Arial"/>
          <w:sz w:val="18"/>
          <w:szCs w:val="18"/>
          <w:color w:val="auto"/>
        </w:rPr>
      </w:pPr>
    </w:p>
    <w:p>
      <w:pPr>
        <w:ind w:firstLine="442"/>
        <w:spacing w:after="0" w:line="342" w:lineRule="auto"/>
        <w:tabs>
          <w:tab w:leader="none" w:pos="679" w:val="left"/>
        </w:tabs>
        <w:numPr>
          <w:ilvl w:val="1"/>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43"/>
        <w:spacing w:after="0" w:line="277" w:lineRule="auto"/>
        <w:tabs>
          <w:tab w:leader="none" w:pos="6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48"/>
        <w:spacing w:after="0" w:line="264" w:lineRule="auto"/>
        <w:tabs>
          <w:tab w:leader="none" w:pos="6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77"/>
        <w:spacing w:after="0" w:line="264"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417"/>
        <w:spacing w:after="0" w:line="264" w:lineRule="auto"/>
        <w:tabs>
          <w:tab w:leader="none" w:pos="867" w:val="left"/>
        </w:tabs>
        <w:numPr>
          <w:ilvl w:val="2"/>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46"/>
        <w:spacing w:after="0" w:line="277" w:lineRule="auto"/>
        <w:tabs>
          <w:tab w:leader="none" w:pos="6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6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22"/>
        <w:spacing w:after="0" w:line="308" w:lineRule="auto"/>
        <w:tabs>
          <w:tab w:leader="none" w:pos="6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97"/>
        <w:spacing w:after="0" w:line="277" w:lineRule="auto"/>
        <w:tabs>
          <w:tab w:leader="none" w:pos="71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77"/>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Robert D. Pomeroy,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Chief Financial Officer of Horizon Technology Finance Corporation, certify that:</w:t>
      </w:r>
    </w:p>
    <w:p>
      <w:pPr>
        <w:spacing w:after="0" w:line="225" w:lineRule="exact"/>
        <w:rPr>
          <w:sz w:val="20"/>
          <w:szCs w:val="20"/>
          <w:color w:val="auto"/>
        </w:rPr>
      </w:pPr>
    </w:p>
    <w:p>
      <w:pPr>
        <w:ind w:left="600" w:hanging="178"/>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25" w:lineRule="exact"/>
        <w:rPr>
          <w:rFonts w:ascii="Arial" w:cs="Arial" w:eastAsia="Arial" w:hAnsi="Arial"/>
          <w:sz w:val="18"/>
          <w:szCs w:val="18"/>
          <w:color w:val="auto"/>
        </w:rPr>
      </w:pPr>
    </w:p>
    <w:p>
      <w:pPr>
        <w:ind w:firstLine="445"/>
        <w:spacing w:after="0" w:line="342" w:lineRule="auto"/>
        <w:tabs>
          <w:tab w:leader="none" w:pos="629" w:val="left"/>
        </w:tabs>
        <w:numPr>
          <w:ilvl w:val="1"/>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48"/>
        <w:spacing w:after="0" w:line="277" w:lineRule="auto"/>
        <w:tabs>
          <w:tab w:leader="none" w:pos="6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423"/>
        <w:spacing w:after="0" w:line="264" w:lineRule="auto"/>
        <w:tabs>
          <w:tab w:leader="none" w:pos="6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422"/>
        <w:spacing w:after="0" w:line="264" w:lineRule="auto"/>
        <w:tabs>
          <w:tab w:leader="none" w:pos="6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428"/>
        <w:spacing w:after="0" w:line="277" w:lineRule="auto"/>
        <w:tabs>
          <w:tab w:leader="none" w:pos="6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29"/>
        <w:spacing w:after="0" w:line="264" w:lineRule="auto"/>
        <w:tabs>
          <w:tab w:leader="none" w:pos="67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25"/>
        <w:spacing w:after="0" w:line="308" w:lineRule="auto"/>
        <w:tabs>
          <w:tab w:leader="none" w:pos="596"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63"/>
        <w:spacing w:after="0" w:line="277" w:lineRule="auto"/>
        <w:tabs>
          <w:tab w:leader="none" w:pos="71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24"/>
        <w:spacing w:after="0" w:line="277" w:lineRule="auto"/>
        <w:tabs>
          <w:tab w:leader="none" w:pos="6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Daniel R. Trolio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395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2019 as filed with the Securities and Exchange Commission on the date hereof (the “Report”), I, Robert D. Pomeroy, Jr., as Chairman of the Board and Chief Executive Officer of the Company hereby certify, to the best of my knowledge that:</w:t>
      </w:r>
    </w:p>
    <w:p>
      <w:pPr>
        <w:spacing w:after="0" w:line="181" w:lineRule="exact"/>
        <w:rPr>
          <w:sz w:val="20"/>
          <w:szCs w:val="20"/>
          <w:color w:val="auto"/>
        </w:rPr>
      </w:pPr>
    </w:p>
    <w:p>
      <w:pPr>
        <w:ind w:left="460" w:hanging="245"/>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2019 as filed with the Securities and Exchange Commission on the date hereof (the “Report”), I, Daniel R. Trolio, as Chief Financial Officer of the Company hereby certify, to the best of my knowledge that:</w:t>
      </w:r>
    </w:p>
    <w:p>
      <w:pPr>
        <w:spacing w:after="0" w:line="181" w:lineRule="exact"/>
        <w:rPr>
          <w:sz w:val="20"/>
          <w:szCs w:val="20"/>
          <w:color w:val="auto"/>
        </w:rPr>
      </w:pPr>
    </w:p>
    <w:p>
      <w:pPr>
        <w:ind w:left="460" w:hanging="245"/>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
      <w:numFmt w:val="bullet"/>
      <w:start w:val="1"/>
    </w:lvl>
  </w:abstractNum>
  <w:abstractNum w:abstractNumId="3">
    <w:nsid w:val="4B588F54"/>
    <w:multiLevelType w:val="hybridMultilevel"/>
    <w:lvl w:ilvl="0">
      <w:lvlJc w:val="left"/>
      <w:lvlText w:val="(%1)"/>
      <w:numFmt w:val="decimal"/>
      <w:start w:val="2"/>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3"/>
      <w:numFmt w:val="bullet"/>
      <w:start w:val="1"/>
    </w:lvl>
  </w:abstractNum>
  <w:abstractNum w:abstractNumId="8">
    <w:nsid w:val="32FFF902"/>
    <w:multiLevelType w:val="hybridMultilevel"/>
    <w:lvl w:ilvl="0">
      <w:lvlJc w:val="left"/>
      <w:lvlText w:val="2"/>
      <w:numFmt w:val="bullet"/>
      <w:start w:val="1"/>
    </w:lvl>
  </w:abstractNum>
  <w:abstractNum w:abstractNumId="9">
    <w:nsid w:val="684A481A"/>
    <w:multiLevelType w:val="hybridMultilevel"/>
    <w:lvl w:ilvl="0">
      <w:lvlJc w:val="left"/>
      <w:lvlText w:val="1"/>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lowerLetter"/>
      <w:start w:val="6"/>
    </w:lvl>
  </w:abstractNum>
  <w:abstractNum w:abstractNumId="20">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2"/>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3"/>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amp;"/>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5"/>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decimal"/>
      <w:start w:val="1"/>
    </w:lvl>
    <w:lvl w:ilvl="1">
      <w:lvlJc w:val="left"/>
      <w:lvlText w:val="%2."/>
      <w:numFmt w:val="decimal"/>
      <w:start w:val="2"/>
    </w:lvl>
  </w:abstractNum>
  <w:abstractNum w:abstractNumId="77">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78">
    <w:nsid w:val="71EA110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79">
    <w:nsid w:val="100F59DC"/>
    <w:multiLevelType w:val="hybridMultilevel"/>
    <w:lvl w:ilvl="0">
      <w:lvlJc w:val="left"/>
      <w:lvlText w:val="%1."/>
      <w:numFmt w:val="decimal"/>
      <w:start w:val="5"/>
    </w:lvl>
  </w:abstractNum>
  <w:abstractNum w:abstractNumId="80">
    <w:nsid w:val="7FB7E0AA"/>
    <w:multiLevelType w:val="hybridMultilevel"/>
    <w:lvl w:ilvl="0">
      <w:lvlJc w:val="left"/>
      <w:lvlText w:val="%1"/>
      <w:numFmt w:val="lowerLetter"/>
      <w:start w:val="1"/>
    </w:lvl>
    <w:lvl w:ilvl="1">
      <w:lvlJc w:val="left"/>
      <w:lvlText w:val="(%2)"/>
      <w:numFmt w:val="lowerLetter"/>
      <w:start w:val="1"/>
    </w:lvl>
  </w:abstractNum>
  <w:abstractNum w:abstractNumId="81">
    <w:nsid w:val="6EB5BD4"/>
    <w:multiLevelType w:val="hybridMultilevel"/>
    <w:lvl w:ilvl="0">
      <w:lvlJc w:val="left"/>
      <w:lvlText w:val="(%1)"/>
      <w:numFmt w:val="lowerLetter"/>
      <w:start w:val="2"/>
    </w:lvl>
    <w:lvl w:ilvl="1">
      <w:lvlJc w:val="left"/>
      <w:lvlText w:val="%2"/>
      <w:numFmt w:val="lowerLetter"/>
      <w:start w:val="1"/>
    </w:lvl>
  </w:abstractNum>
  <w:abstractNum w:abstractNumId="82">
    <w:nsid w:val="6F6DD9AC"/>
    <w:multiLevelType w:val="hybridMultilevel"/>
    <w:lvl w:ilvl="0">
      <w:lvlJc w:val="left"/>
      <w:lvlText w:val="%1."/>
      <w:numFmt w:val="decimal"/>
      <w:start w:val="1"/>
    </w:lvl>
    <w:lvl w:ilvl="1">
      <w:lvlJc w:val="left"/>
      <w:lvlText w:val="%2."/>
      <w:numFmt w:val="decimal"/>
      <w:start w:val="2"/>
    </w:lvl>
  </w:abstractNum>
  <w:abstractNum w:abstractNumId="83">
    <w:nsid w:val="94211F2"/>
    <w:multiLevelType w:val="hybridMultilevel"/>
    <w:lvl w:ilvl="0">
      <w:lvlJc w:val="left"/>
      <w:lvlText w:val="(%1)"/>
      <w:numFmt w:val="lowerLetter"/>
      <w:start w:val="1"/>
    </w:lvl>
    <w:lvl w:ilvl="1">
      <w:lvlJc w:val="left"/>
      <w:lvlText w:val="%2."/>
      <w:numFmt w:val="decimal"/>
      <w:start w:val="5"/>
    </w:lvl>
  </w:abstractNum>
  <w:abstractNum w:abstractNumId="84">
    <w:nsid w:val="885E1B"/>
    <w:multiLevelType w:val="hybridMultilevel"/>
    <w:lvl w:ilvl="0">
      <w:lvlJc w:val="left"/>
      <w:lvlText w:val="%1"/>
      <w:numFmt w:val="lowerLetter"/>
      <w:start w:val="1"/>
    </w:lvl>
    <w:lvl w:ilvl="1">
      <w:lvlJc w:val="left"/>
      <w:lvlText w:val="(%2)"/>
      <w:numFmt w:val="lowerLetter"/>
      <w:start w:val="1"/>
    </w:lvl>
  </w:abstractNum>
  <w:abstractNum w:abstractNumId="85">
    <w:nsid w:val="76272110"/>
    <w:multiLevelType w:val="hybridMultilevel"/>
    <w:lvl w:ilvl="0">
      <w:lvlJc w:val="left"/>
      <w:lvlText w:val="(%1)"/>
      <w:numFmt w:val="lowerLetter"/>
      <w:start w:val="2"/>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164" Type="http://schemas.openxmlformats.org/officeDocument/2006/relationships/hyperlink" Target="http://www.sec.gov/Archives/edgar/data/1487428/000095012310063397/w77247a2exv99wa.htm" TargetMode="External"/><Relationship Id="rId165" Type="http://schemas.openxmlformats.org/officeDocument/2006/relationships/hyperlink" Target="http://www.sec.gov/Archives/edgar/data/1487428/000095012310063397/w77247a2exv99wb.htm" TargetMode="External"/><Relationship Id="rId166" Type="http://schemas.openxmlformats.org/officeDocument/2006/relationships/hyperlink" Target="http://www.sec.gov/Archives/edgar/data/1487428/000095012310066279/w77247a3exv99wd.htm" TargetMode="External"/><Relationship Id="rId167" Type="http://schemas.openxmlformats.org/officeDocument/2006/relationships/hyperlink" Target="http://www.sec.gov/Archives/edgar/data/1487428/000095012312005103/j93447exexv99wdw7.htm" TargetMode="External"/><Relationship Id="rId168" Type="http://schemas.openxmlformats.org/officeDocument/2006/relationships/hyperlink" Target="http://www.sec.gov/Archives/edgar/data/1487428/000114420417050608/v476183_ex99-d12.htm" TargetMode="External"/><Relationship Id="rId169" Type="http://schemas.openxmlformats.org/officeDocument/2006/relationships/hyperlink" Target="http://www.sec.gov/Archives/edgar/data/1487428/000114420419013043/tv515764_ex10-1.htm" TargetMode="External"/><Relationship Id="rId170" Type="http://schemas.openxmlformats.org/officeDocument/2006/relationships/hyperlink" Target="http://www.sec.gov/Archives/edgar/data/1487428/000095012310066279/w77247a3exv99wj.htm" TargetMode="External"/><Relationship Id="rId171" Type="http://schemas.openxmlformats.org/officeDocument/2006/relationships/hyperlink" Target="http://www.sec.gov/Archives/edgar/data/1487428/000095012310063397/w77247a2exv99wkw1.htm" TargetMode="External"/><Relationship Id="rId172" Type="http://schemas.openxmlformats.org/officeDocument/2006/relationships/hyperlink" Target="http://www.sec.gov/Archives/edgar/data/1487428/000095012310063397/w77247a2exv99wkw2.htm" TargetMode="External"/><Relationship Id="rId173" Type="http://schemas.openxmlformats.org/officeDocument/2006/relationships/hyperlink" Target="http://www.sec.gov/Archives/edgar/data/1487428/000095012310063397/w77247a2exv99we.htm" TargetMode="External"/><Relationship Id="rId174" Type="http://schemas.openxmlformats.org/officeDocument/2006/relationships/hyperlink" Target="http://www.sec.gov/Archives/edgar/data/1487428/000114420414014841/v370511_ex10-14.htm" TargetMode="External"/><Relationship Id="rId175" Type="http://schemas.openxmlformats.org/officeDocument/2006/relationships/hyperlink" Target="http://www.sec.gov/Archives/edgar/data/1487428/000114420415050764/v418498_ex99k-13.htm" TargetMode="External"/><Relationship Id="rId176" Type="http://schemas.openxmlformats.org/officeDocument/2006/relationships/hyperlink" Target="http://www.sec.gov/Archives/edgar/data/1487428/000114420414014841/v370511_ex10-15.htm" TargetMode="External"/><Relationship Id="rId177" Type="http://schemas.openxmlformats.org/officeDocument/2006/relationships/hyperlink" Target="http://www.sec.gov/Archives/edgar/data/1487428/000114420414014841/v370511_ex10-16.htm" TargetMode="External"/><Relationship Id="rId178" Type="http://schemas.openxmlformats.org/officeDocument/2006/relationships/hyperlink" Target="http://www.sec.gov/Archives/edgar/data/1487428/000114420416107826/v441949_ex99k11.htm" TargetMode="External"/><Relationship Id="rId179" Type="http://schemas.openxmlformats.org/officeDocument/2006/relationships/hyperlink" Target="http://www.sec.gov/Archives/edgar/data/1487428/000114420418024470/tv492650_ex10-1.htm" TargetMode="External"/><Relationship Id="rId180" Type="http://schemas.openxmlformats.org/officeDocument/2006/relationships/hyperlink" Target="http://www.sec.gov/Archives/edgar/data/1487428/000157104918000355/tv494550_ex99k9.htm" TargetMode="External"/><Relationship Id="rId181" Type="http://schemas.openxmlformats.org/officeDocument/2006/relationships/hyperlink" Target="http://www.sec.gov/Archives/edgar/data/1487428/000114420419012224/tv515286_ex10-13.htm" TargetMode="External"/><Relationship Id="rId182" Type="http://schemas.openxmlformats.org/officeDocument/2006/relationships/hyperlink" Target="http://www.sec.gov/Archives/edgar/data/1487428/000114420419016026/tv517182_ex99h3.htm" TargetMode="External"/><Relationship Id="rId183" Type="http://schemas.openxmlformats.org/officeDocument/2006/relationships/hyperlink" Target="http://www.sec.gov/Archives/edgar/data/1487428/000114420419037509/tv526684_ex1-1.htm" TargetMode="External"/><Relationship Id="rId184" Type="http://schemas.openxmlformats.org/officeDocument/2006/relationships/hyperlink" Target="http://www.sec.gov/Archives/edgar/data/1487428/000114420419039555/tv527501_ex10-1.htm" TargetMode="External"/><Relationship Id="rId185" Type="http://schemas.openxmlformats.org/officeDocument/2006/relationships/hyperlink" Target="http://www.sec.gov/Archives/edgar/data/1487428/000114420419039555/tv527501_ex10-2.htm" TargetMode="External"/><Relationship Id="rId186" Type="http://schemas.openxmlformats.org/officeDocument/2006/relationships/hyperlink" Target="http://www.sec.gov/Archives/edgar/data/1487428/000114420419039555/tv527501_ex10-3.htm" TargetMode="External"/><Relationship Id="rId187" Type="http://schemas.openxmlformats.org/officeDocument/2006/relationships/hyperlink" Target="http://www.sec.gov/Archives/edgar/data/1487428/000114420419039555/tv527501_ex10-4.htm" TargetMode="External"/><Relationship Id="rId188" Type="http://schemas.openxmlformats.org/officeDocument/2006/relationships/hyperlink" Target="http://www.sec.gov/Archives/edgar/data/1487428/000114420419039555/tv527501_ex10-5.htm" TargetMode="External"/><Relationship Id="rId189" Type="http://schemas.openxmlformats.org/officeDocument/2006/relationships/hyperlink" Target="http://www.sec.gov/Archives/edgar/data/1487428/000114420419039555/tv527501_ex10-6.htm" TargetMode="External"/><Relationship Id="rId190" Type="http://schemas.openxmlformats.org/officeDocument/2006/relationships/hyperlink" Target="http://www.sec.gov/Archives/edgar/data/1487428/000114420417013262/v461244_ex14-1.htm" TargetMode="External"/><Relationship Id="rId191" Type="http://schemas.openxmlformats.org/officeDocument/2006/relationships/hyperlink" Target="http://www.sec.gov/Archives/edgar/data/1487428/000095012311025839/w82020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2020-03-03T15:30:30Z</dcterms:created>
  <dcterms:modified xsi:type="dcterms:W3CDTF">2020-03-03T15:30:30Z</dcterms:modified>
</cp:coreProperties>
</file>